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6A9C3A">
      <w:pPr>
        <w:keepNext w:val="0"/>
        <w:keepLines w:val="0"/>
        <w:pageBreakBefore w:val="0"/>
        <w:widowControl w:val="0"/>
        <w:kinsoku/>
        <w:wordWrap/>
        <w:overflowPunct/>
        <w:topLinePunct w:val="0"/>
        <w:autoSpaceDE/>
        <w:autoSpaceDN/>
        <w:bidi w:val="0"/>
        <w:adjustRightInd/>
        <w:snapToGrid w:val="0"/>
        <w:spacing w:line="560" w:lineRule="exact"/>
        <w:jc w:val="center"/>
        <w:textAlignment w:val="auto"/>
        <w:rPr>
          <w:rFonts w:hint="eastAsia" w:ascii="Times New Roman" w:hAnsi="Times New Roman" w:eastAsia="方正小标宋简体" w:cs="方正仿宋简体"/>
          <w:color w:val="000000"/>
          <w:sz w:val="32"/>
          <w:szCs w:val="32"/>
        </w:rPr>
      </w:pPr>
      <w:r>
        <w:rPr>
          <w:rFonts w:hint="eastAsia" w:ascii="Times New Roman" w:hAnsi="Times New Roman" w:eastAsia="方正小标宋简体" w:cs="方正仿宋简体"/>
          <w:color w:val="000000"/>
          <w:sz w:val="32"/>
          <w:szCs w:val="32"/>
        </w:rPr>
        <w:t>2026年北京市</w:t>
      </w:r>
      <w:r>
        <w:rPr>
          <w:rFonts w:hint="eastAsia" w:eastAsia="方正小标宋简体"/>
          <w:sz w:val="32"/>
          <w:szCs w:val="32"/>
        </w:rPr>
        <w:t>电动食品加工设备</w:t>
      </w:r>
      <w:r>
        <w:rPr>
          <w:rFonts w:hint="eastAsia" w:ascii="Times New Roman" w:hAnsi="Times New Roman" w:eastAsia="方正小标宋简体" w:cs="方正仿宋简体"/>
          <w:color w:val="000000"/>
          <w:sz w:val="32"/>
          <w:szCs w:val="32"/>
        </w:rPr>
        <w:t>产品质量监督抽查实施细则</w:t>
      </w:r>
    </w:p>
    <w:p w14:paraId="7C77715A">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46456FF">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黑体" w:cs="黑体"/>
          <w:sz w:val="22"/>
          <w:szCs w:val="28"/>
          <w:lang w:val="en-US" w:eastAsia="zh-CN"/>
        </w:rPr>
      </w:pPr>
      <w:r>
        <w:rPr>
          <w:rFonts w:hint="eastAsia" w:ascii="Times New Roman" w:hAnsi="Times New Roman" w:eastAsia="黑体" w:cs="黑体"/>
          <w:sz w:val="22"/>
          <w:szCs w:val="28"/>
          <w:lang w:val="en-US" w:eastAsia="zh-CN"/>
        </w:rPr>
        <w:t>1 抽样方法</w:t>
      </w:r>
    </w:p>
    <w:p w14:paraId="67938414">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以随机抽样的方式在被抽样生产者、销售者的待销产品中抽取。</w:t>
      </w:r>
    </w:p>
    <w:p w14:paraId="161F99B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随机数一般可使用随机数表等方法产生。</w:t>
      </w:r>
    </w:p>
    <w:p w14:paraId="08553F97">
      <w:pPr>
        <w:shd w:val="clear" w:color="auto" w:fill="FFFFFF"/>
        <w:snapToGrid w:val="0"/>
        <w:spacing w:line="440" w:lineRule="exact"/>
        <w:ind w:firstLine="420" w:firstLineChars="20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整机：每批次产品抽取样品2台，其中检验样品1台，备用样品1台。</w:t>
      </w:r>
    </w:p>
    <w:p w14:paraId="2C2E2AAD">
      <w:pPr>
        <w:shd w:val="clear" w:color="auto" w:fill="FFFFFF"/>
        <w:adjustRightInd w:val="0"/>
        <w:snapToGrid w:val="0"/>
        <w:spacing w:line="440" w:lineRule="exact"/>
        <w:ind w:left="11" w:firstLine="420" w:firstLineChars="200"/>
        <w:jc w:val="left"/>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材料样块：抽取与食品</w:t>
      </w:r>
      <w:r>
        <w:rPr>
          <w:rFonts w:hint="default" w:ascii="Times New Roman" w:hAnsi="Times New Roman" w:cs="Times New Roman"/>
          <w:color w:val="000000" w:themeColor="text1"/>
          <w:highlight w:val="none"/>
          <w:lang w:val="en-US" w:eastAsia="zh-CN"/>
          <w14:textFill>
            <w14:solidFill>
              <w14:schemeClr w14:val="tx1"/>
            </w14:solidFill>
          </w14:textFill>
        </w:rPr>
        <w:t>直接</w:t>
      </w:r>
      <w:r>
        <w:rPr>
          <w:rFonts w:hint="default" w:ascii="Times New Roman" w:hAnsi="Times New Roman" w:cs="Times New Roman"/>
          <w:color w:val="000000" w:themeColor="text1"/>
          <w:highlight w:val="none"/>
          <w14:textFill>
            <w14:solidFill>
              <w14:schemeClr w14:val="tx1"/>
            </w14:solidFill>
          </w14:textFill>
        </w:rPr>
        <w:t>接触的材料，有多种材料时，抽取2种与食品接触面积较大的材料。材料样块在整机直接接触食品的部件上截取，或与其部件同材质、同生产商的原材料或外购外协件上截取。每批次产品截取材料样块材质种类及抽样数量见表1。</w:t>
      </w:r>
    </w:p>
    <w:p w14:paraId="350FD927">
      <w:pPr>
        <w:shd w:val="clear" w:color="auto" w:fill="FFFFFF"/>
        <w:adjustRightInd w:val="0"/>
        <w:snapToGrid w:val="0"/>
        <w:spacing w:line="440" w:lineRule="exact"/>
        <w:ind w:hanging="11"/>
        <w:jc w:val="center"/>
        <w:rPr>
          <w:rFonts w:hint="default" w:ascii="Times New Roman" w:hAnsi="Times New Roman" w:cs="Times New Roman"/>
          <w:color w:val="000000" w:themeColor="text1"/>
          <w:sz w:val="28"/>
          <w:szCs w:val="28"/>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表1 </w:t>
      </w:r>
      <w:bookmarkStart w:id="0" w:name="OLE_LINK5"/>
      <w:r>
        <w:rPr>
          <w:rFonts w:hint="default" w:ascii="Times New Roman" w:hAnsi="Times New Roman" w:cs="Times New Roman"/>
          <w:color w:val="000000" w:themeColor="text1"/>
          <w:highlight w:val="none"/>
          <w14:textFill>
            <w14:solidFill>
              <w14:schemeClr w14:val="tx1"/>
            </w14:solidFill>
          </w14:textFill>
        </w:rPr>
        <w:t>材料样块材质及抽样数量</w:t>
      </w:r>
      <w:bookmarkEnd w:id="0"/>
    </w:p>
    <w:tbl>
      <w:tblPr>
        <w:tblStyle w:val="8"/>
        <w:tblW w:w="9098" w:type="dxa"/>
        <w:tblInd w:w="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4"/>
        <w:gridCol w:w="3345"/>
        <w:gridCol w:w="1619"/>
        <w:gridCol w:w="1619"/>
        <w:gridCol w:w="1621"/>
      </w:tblGrid>
      <w:tr w14:paraId="15D8F2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3" w:hRule="atLeast"/>
        </w:trPr>
        <w:tc>
          <w:tcPr>
            <w:tcW w:w="894" w:type="dxa"/>
            <w:vAlign w:val="center"/>
          </w:tcPr>
          <w:p w14:paraId="477B0DC4">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序号</w:t>
            </w:r>
          </w:p>
        </w:tc>
        <w:tc>
          <w:tcPr>
            <w:tcW w:w="3345" w:type="dxa"/>
            <w:vAlign w:val="center"/>
          </w:tcPr>
          <w:p w14:paraId="1D9C387D">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材料样块材质</w:t>
            </w:r>
          </w:p>
        </w:tc>
        <w:tc>
          <w:tcPr>
            <w:tcW w:w="1619" w:type="dxa"/>
            <w:vAlign w:val="center"/>
          </w:tcPr>
          <w:p w14:paraId="2843A977">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抽样数量（组/每组表面积）</w:t>
            </w:r>
          </w:p>
        </w:tc>
        <w:tc>
          <w:tcPr>
            <w:tcW w:w="1619" w:type="dxa"/>
            <w:vAlign w:val="center"/>
          </w:tcPr>
          <w:p w14:paraId="12811338">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检样数量（组）</w:t>
            </w:r>
          </w:p>
        </w:tc>
        <w:tc>
          <w:tcPr>
            <w:tcW w:w="1621" w:type="dxa"/>
            <w:vAlign w:val="center"/>
          </w:tcPr>
          <w:p w14:paraId="3027CBCD">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备样数量（组）</w:t>
            </w:r>
          </w:p>
        </w:tc>
      </w:tr>
      <w:tr w14:paraId="230604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94" w:type="dxa"/>
            <w:shd w:val="clear" w:color="auto" w:fill="auto"/>
            <w:vAlign w:val="center"/>
          </w:tcPr>
          <w:p w14:paraId="6F22FE2E">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w:t>
            </w:r>
          </w:p>
        </w:tc>
        <w:tc>
          <w:tcPr>
            <w:tcW w:w="3345" w:type="dxa"/>
            <w:shd w:val="clear" w:color="auto" w:fill="auto"/>
            <w:vAlign w:val="center"/>
          </w:tcPr>
          <w:p w14:paraId="4249BB99">
            <w:pPr>
              <w:shd w:val="clear" w:color="auto" w:fill="FFFFFF"/>
              <w:adjustRightInd w:val="0"/>
              <w:snapToGrid w:val="0"/>
              <w:jc w:val="center"/>
              <w:rPr>
                <w:rFonts w:hint="default" w:ascii="Times New Roman" w:hAnsi="Times New Roman" w:cs="Times New Roman"/>
                <w:color w:val="000000" w:themeColor="text1"/>
                <w:highlight w:val="none"/>
                <w:vertAlign w:val="superscript"/>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金属材质</w:t>
            </w:r>
            <w:r>
              <w:rPr>
                <w:rFonts w:hint="default" w:ascii="Times New Roman" w:hAnsi="Times New Roman" w:cs="Times New Roman"/>
                <w:color w:val="000000" w:themeColor="text1"/>
                <w:highlight w:val="none"/>
                <w:vertAlign w:val="superscript"/>
                <w14:textFill>
                  <w14:solidFill>
                    <w14:schemeClr w14:val="tx1"/>
                  </w14:solidFill>
                </w14:textFill>
              </w:rPr>
              <w:t>a</w:t>
            </w:r>
          </w:p>
        </w:tc>
        <w:tc>
          <w:tcPr>
            <w:tcW w:w="1619" w:type="dxa"/>
            <w:shd w:val="clear" w:color="auto" w:fill="FFFFFF"/>
            <w:vAlign w:val="center"/>
          </w:tcPr>
          <w:p w14:paraId="493C1E65">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6组/25cm</w:t>
            </w:r>
            <w:r>
              <w:rPr>
                <w:rFonts w:hint="default" w:ascii="Times New Roman" w:hAnsi="Times New Roman" w:cs="Times New Roman"/>
                <w:color w:val="000000" w:themeColor="text1"/>
                <w:highlight w:val="none"/>
                <w:vertAlign w:val="superscript"/>
                <w14:textFill>
                  <w14:solidFill>
                    <w14:schemeClr w14:val="tx1"/>
                  </w14:solidFill>
                </w14:textFill>
              </w:rPr>
              <w:t>2</w:t>
            </w:r>
          </w:p>
        </w:tc>
        <w:tc>
          <w:tcPr>
            <w:tcW w:w="1619" w:type="dxa"/>
            <w:shd w:val="clear" w:color="auto" w:fill="FFFFFF"/>
            <w:vAlign w:val="center"/>
          </w:tcPr>
          <w:p w14:paraId="1F9B50C5">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w:t>
            </w:r>
          </w:p>
        </w:tc>
        <w:tc>
          <w:tcPr>
            <w:tcW w:w="1621" w:type="dxa"/>
            <w:shd w:val="clear" w:color="auto" w:fill="FFFFFF"/>
            <w:vAlign w:val="center"/>
          </w:tcPr>
          <w:p w14:paraId="767AA5C8">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w:t>
            </w:r>
          </w:p>
        </w:tc>
      </w:tr>
      <w:tr w14:paraId="0952E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 w:hRule="atLeast"/>
        </w:trPr>
        <w:tc>
          <w:tcPr>
            <w:tcW w:w="894" w:type="dxa"/>
            <w:shd w:val="clear" w:color="auto" w:fill="auto"/>
            <w:vAlign w:val="center"/>
          </w:tcPr>
          <w:p w14:paraId="01A3FE0E">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2</w:t>
            </w:r>
          </w:p>
        </w:tc>
        <w:tc>
          <w:tcPr>
            <w:tcW w:w="3345" w:type="dxa"/>
            <w:shd w:val="clear" w:color="auto" w:fill="auto"/>
            <w:vAlign w:val="center"/>
          </w:tcPr>
          <w:p w14:paraId="0513AB9C">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塑料材质</w:t>
            </w:r>
          </w:p>
        </w:tc>
        <w:tc>
          <w:tcPr>
            <w:tcW w:w="1619" w:type="dxa"/>
            <w:shd w:val="clear" w:color="auto" w:fill="FFFFFF"/>
            <w:vAlign w:val="center"/>
          </w:tcPr>
          <w:p w14:paraId="2703D9F1">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30</w:t>
            </w:r>
            <w:r>
              <w:rPr>
                <w:rFonts w:hint="default" w:ascii="Times New Roman" w:hAnsi="Times New Roman" w:cs="Times New Roman"/>
                <w:color w:val="000000" w:themeColor="text1"/>
                <w:highlight w:val="none"/>
                <w14:textFill>
                  <w14:solidFill>
                    <w14:schemeClr w14:val="tx1"/>
                  </w14:solidFill>
                </w14:textFill>
              </w:rPr>
              <w:t>组/25cm</w:t>
            </w:r>
            <w:r>
              <w:rPr>
                <w:rFonts w:hint="default" w:ascii="Times New Roman" w:hAnsi="Times New Roman" w:cs="Times New Roman"/>
                <w:color w:val="000000" w:themeColor="text1"/>
                <w:highlight w:val="none"/>
                <w:vertAlign w:val="superscript"/>
                <w14:textFill>
                  <w14:solidFill>
                    <w14:schemeClr w14:val="tx1"/>
                  </w14:solidFill>
                </w14:textFill>
              </w:rPr>
              <w:t>2</w:t>
            </w:r>
          </w:p>
        </w:tc>
        <w:tc>
          <w:tcPr>
            <w:tcW w:w="1619" w:type="dxa"/>
            <w:shd w:val="clear" w:color="auto" w:fill="FFFFFF"/>
            <w:vAlign w:val="center"/>
          </w:tcPr>
          <w:p w14:paraId="35CB53AF">
            <w:pPr>
              <w:shd w:val="clear" w:color="auto" w:fill="FFFFFF"/>
              <w:adjustRightInd w:val="0"/>
              <w:snapToGrid w:val="0"/>
              <w:jc w:val="center"/>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20</w:t>
            </w:r>
          </w:p>
        </w:tc>
        <w:tc>
          <w:tcPr>
            <w:tcW w:w="1621" w:type="dxa"/>
            <w:shd w:val="clear" w:color="auto" w:fill="FFFFFF"/>
            <w:vAlign w:val="center"/>
          </w:tcPr>
          <w:p w14:paraId="46E1CC8F">
            <w:pPr>
              <w:shd w:val="clear" w:color="auto" w:fill="FFFFFF"/>
              <w:adjustRightInd w:val="0"/>
              <w:snapToGrid w:val="0"/>
              <w:jc w:val="center"/>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10</w:t>
            </w:r>
          </w:p>
        </w:tc>
      </w:tr>
      <w:tr w14:paraId="55765B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94" w:type="dxa"/>
            <w:shd w:val="clear" w:color="auto" w:fill="auto"/>
            <w:vAlign w:val="center"/>
          </w:tcPr>
          <w:p w14:paraId="02264C9D">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w:t>
            </w:r>
          </w:p>
        </w:tc>
        <w:tc>
          <w:tcPr>
            <w:tcW w:w="3345" w:type="dxa"/>
            <w:shd w:val="clear" w:color="auto" w:fill="auto"/>
            <w:vAlign w:val="center"/>
          </w:tcPr>
          <w:p w14:paraId="22F23952">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橡胶材质</w:t>
            </w:r>
          </w:p>
        </w:tc>
        <w:tc>
          <w:tcPr>
            <w:tcW w:w="1619" w:type="dxa"/>
            <w:shd w:val="clear" w:color="auto" w:fill="FFFFFF"/>
            <w:vAlign w:val="center"/>
          </w:tcPr>
          <w:p w14:paraId="0BD2505D">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组/150cm</w:t>
            </w:r>
            <w:r>
              <w:rPr>
                <w:rFonts w:hint="default" w:ascii="Times New Roman" w:hAnsi="Times New Roman" w:cs="Times New Roman"/>
                <w:color w:val="000000" w:themeColor="text1"/>
                <w:highlight w:val="none"/>
                <w:vertAlign w:val="superscript"/>
                <w14:textFill>
                  <w14:solidFill>
                    <w14:schemeClr w14:val="tx1"/>
                  </w14:solidFill>
                </w14:textFill>
              </w:rPr>
              <w:t>2</w:t>
            </w:r>
          </w:p>
        </w:tc>
        <w:tc>
          <w:tcPr>
            <w:tcW w:w="1619" w:type="dxa"/>
            <w:shd w:val="clear" w:color="auto" w:fill="FFFFFF"/>
            <w:vAlign w:val="center"/>
          </w:tcPr>
          <w:p w14:paraId="58186824">
            <w:pPr>
              <w:shd w:val="clear" w:color="auto" w:fill="FFFFFF"/>
              <w:adjustRightInd w:val="0"/>
              <w:snapToGrid w:val="0"/>
              <w:jc w:val="center"/>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4</w:t>
            </w:r>
          </w:p>
        </w:tc>
        <w:tc>
          <w:tcPr>
            <w:tcW w:w="1621" w:type="dxa"/>
            <w:shd w:val="clear" w:color="auto" w:fill="FFFFFF"/>
            <w:vAlign w:val="center"/>
          </w:tcPr>
          <w:p w14:paraId="2AA5A9BE">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2 </w:t>
            </w:r>
          </w:p>
        </w:tc>
      </w:tr>
      <w:tr w14:paraId="43AD6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894" w:type="dxa"/>
            <w:shd w:val="clear" w:color="auto" w:fill="auto"/>
            <w:vAlign w:val="center"/>
          </w:tcPr>
          <w:p w14:paraId="0C416DF1">
            <w:pPr>
              <w:shd w:val="clear" w:color="auto" w:fill="FFFFFF"/>
              <w:adjustRightInd w:val="0"/>
              <w:snapToGrid w:val="0"/>
              <w:jc w:val="center"/>
              <w:rPr>
                <w:rFonts w:hint="default" w:ascii="Times New Roman" w:hAnsi="Times New Roman" w:eastAsia="宋体" w:cs="Times New Roman"/>
                <w:color w:val="000000" w:themeColor="text1"/>
                <w:highlight w:val="none"/>
                <w:lang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4</w:t>
            </w:r>
          </w:p>
        </w:tc>
        <w:tc>
          <w:tcPr>
            <w:tcW w:w="3345" w:type="dxa"/>
            <w:shd w:val="clear" w:color="auto" w:fill="auto"/>
            <w:vAlign w:val="center"/>
          </w:tcPr>
          <w:p w14:paraId="202E9689">
            <w:pPr>
              <w:shd w:val="clear" w:color="auto" w:fill="FFFFFF"/>
              <w:adjustRightInd w:val="0"/>
              <w:snapToGrid w:val="0"/>
              <w:jc w:val="center"/>
              <w:rPr>
                <w:rFonts w:hint="default" w:ascii="Times New Roman" w:hAnsi="Times New Roman" w:cs="Times New Roman"/>
                <w:color w:val="000000" w:themeColor="text1"/>
                <w:highlight w:val="none"/>
                <w:lang w:val="en-US"/>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硅橡胶材质</w:t>
            </w:r>
          </w:p>
        </w:tc>
        <w:tc>
          <w:tcPr>
            <w:tcW w:w="1619" w:type="dxa"/>
            <w:shd w:val="clear" w:color="auto" w:fill="FFFFFF"/>
            <w:vAlign w:val="center"/>
          </w:tcPr>
          <w:p w14:paraId="23F5A45B">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14:textFill>
                  <w14:solidFill>
                    <w14:schemeClr w14:val="tx1"/>
                  </w14:solidFill>
                </w14:textFill>
              </w:rPr>
              <w:t>组/150cm</w:t>
            </w:r>
            <w:r>
              <w:rPr>
                <w:rFonts w:hint="default" w:ascii="Times New Roman" w:hAnsi="Times New Roman" w:cs="Times New Roman"/>
                <w:color w:val="000000" w:themeColor="text1"/>
                <w:highlight w:val="none"/>
                <w:vertAlign w:val="superscript"/>
                <w14:textFill>
                  <w14:solidFill>
                    <w14:schemeClr w14:val="tx1"/>
                  </w14:solidFill>
                </w14:textFill>
              </w:rPr>
              <w:t>2</w:t>
            </w:r>
          </w:p>
        </w:tc>
        <w:tc>
          <w:tcPr>
            <w:tcW w:w="1619" w:type="dxa"/>
            <w:shd w:val="clear" w:color="auto" w:fill="FFFFFF"/>
            <w:vAlign w:val="center"/>
          </w:tcPr>
          <w:p w14:paraId="07EFB991">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 xml:space="preserve"> </w:t>
            </w:r>
          </w:p>
        </w:tc>
        <w:tc>
          <w:tcPr>
            <w:tcW w:w="1621" w:type="dxa"/>
            <w:shd w:val="clear" w:color="auto" w:fill="FFFFFF"/>
            <w:vAlign w:val="center"/>
          </w:tcPr>
          <w:p w14:paraId="7304B5CC">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 xml:space="preserve"> </w:t>
            </w:r>
          </w:p>
        </w:tc>
      </w:tr>
      <w:tr w14:paraId="2DB3F9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9098" w:type="dxa"/>
            <w:gridSpan w:val="5"/>
            <w:vAlign w:val="center"/>
          </w:tcPr>
          <w:p w14:paraId="7B949CFF">
            <w:pPr>
              <w:shd w:val="clear" w:color="auto" w:fill="FFFFFF"/>
              <w:adjustRightInd w:val="0"/>
              <w:snapToGrid w:val="0"/>
              <w:jc w:val="left"/>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注：a 涂（镀）层金属材料除外。</w:t>
            </w:r>
          </w:p>
        </w:tc>
      </w:tr>
    </w:tbl>
    <w:p w14:paraId="3657F6B0">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2BEE1EB5">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2 检验依据</w:t>
      </w:r>
    </w:p>
    <w:p w14:paraId="2F6FBFD0">
      <w:pPr>
        <w:adjustRightInd w:val="0"/>
        <w:snapToGrid w:val="0"/>
        <w:spacing w:before="156" w:beforeLines="50" w:line="360" w:lineRule="auto"/>
        <w:rPr>
          <w:rFonts w:hint="eastAsia" w:cs="宋体"/>
        </w:rPr>
      </w:pPr>
      <w:r>
        <w:rPr>
          <w:rFonts w:hint="eastAsia" w:eastAsia="黑体"/>
          <w:szCs w:val="21"/>
        </w:rPr>
        <w:t>2.1</w:t>
      </w:r>
      <w:r>
        <w:rPr>
          <w:rFonts w:hint="eastAsia" w:cs="宋体"/>
        </w:rPr>
        <w:t>工业电动食品加工设备</w:t>
      </w: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28"/>
        <w:gridCol w:w="4166"/>
        <w:gridCol w:w="1962"/>
        <w:gridCol w:w="2300"/>
      </w:tblGrid>
      <w:tr w14:paraId="108D2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347" w:type="pct"/>
            <w:vAlign w:val="center"/>
          </w:tcPr>
          <w:p w14:paraId="3EFBA22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序号</w:t>
            </w:r>
          </w:p>
        </w:tc>
        <w:tc>
          <w:tcPr>
            <w:tcW w:w="2300" w:type="pct"/>
            <w:vAlign w:val="center"/>
          </w:tcPr>
          <w:p w14:paraId="7389969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检验项目</w:t>
            </w:r>
          </w:p>
        </w:tc>
        <w:tc>
          <w:tcPr>
            <w:tcW w:w="1083" w:type="pct"/>
            <w:vAlign w:val="center"/>
          </w:tcPr>
          <w:p w14:paraId="4388BD2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color w:val="auto"/>
                <w:szCs w:val="21"/>
              </w:rPr>
              <w:t>检验依据</w:t>
            </w:r>
          </w:p>
        </w:tc>
        <w:tc>
          <w:tcPr>
            <w:tcW w:w="1268" w:type="pct"/>
            <w:shd w:val="clear" w:color="auto" w:fill="auto"/>
            <w:vAlign w:val="center"/>
          </w:tcPr>
          <w:p w14:paraId="35D1E87B">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检验方法</w:t>
            </w:r>
          </w:p>
        </w:tc>
      </w:tr>
      <w:tr w14:paraId="5993B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7CB5609F">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7E95BAD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砷</w:t>
            </w:r>
          </w:p>
        </w:tc>
        <w:tc>
          <w:tcPr>
            <w:tcW w:w="1083" w:type="pct"/>
            <w:vAlign w:val="center"/>
          </w:tcPr>
          <w:p w14:paraId="48F08E6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1F8E7CBC">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bookmarkStart w:id="1" w:name="_GoBack"/>
            <w:bookmarkEnd w:id="1"/>
          </w:p>
        </w:tc>
      </w:tr>
      <w:tr w14:paraId="7F04E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550115F3">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6E738E5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镉</w:t>
            </w:r>
          </w:p>
        </w:tc>
        <w:tc>
          <w:tcPr>
            <w:tcW w:w="1083" w:type="pct"/>
            <w:vAlign w:val="center"/>
          </w:tcPr>
          <w:p w14:paraId="5B42650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577B2338">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58E9B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3C1CC4BE">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140A373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铅</w:t>
            </w:r>
          </w:p>
        </w:tc>
        <w:tc>
          <w:tcPr>
            <w:tcW w:w="1083" w:type="pct"/>
            <w:vAlign w:val="center"/>
          </w:tcPr>
          <w:p w14:paraId="781C314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475D995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6B05E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4EFB3187">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2FD1BB4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镍</w:t>
            </w:r>
          </w:p>
        </w:tc>
        <w:tc>
          <w:tcPr>
            <w:tcW w:w="1083" w:type="pct"/>
            <w:vAlign w:val="center"/>
          </w:tcPr>
          <w:p w14:paraId="07C4911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5000BE89">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606C9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6EF7F8E8">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4B8E5F7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铬</w:t>
            </w:r>
          </w:p>
        </w:tc>
        <w:tc>
          <w:tcPr>
            <w:tcW w:w="1083" w:type="pct"/>
            <w:vAlign w:val="center"/>
          </w:tcPr>
          <w:p w14:paraId="2877FAC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5587CF4D">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531B6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2B3B8B9E">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3368B7C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锑</w:t>
            </w:r>
          </w:p>
        </w:tc>
        <w:tc>
          <w:tcPr>
            <w:tcW w:w="1083" w:type="pct"/>
            <w:vAlign w:val="center"/>
          </w:tcPr>
          <w:p w14:paraId="3CC85E8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1DE0C561">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6DF7C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4D328152">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2630119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铝</w:t>
            </w:r>
          </w:p>
        </w:tc>
        <w:tc>
          <w:tcPr>
            <w:tcW w:w="1083" w:type="pct"/>
            <w:vAlign w:val="center"/>
          </w:tcPr>
          <w:p w14:paraId="0858A07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20BE09FB">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52CAF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25306F86">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3D12B66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钴</w:t>
            </w:r>
          </w:p>
        </w:tc>
        <w:tc>
          <w:tcPr>
            <w:tcW w:w="1083" w:type="pct"/>
            <w:vAlign w:val="center"/>
          </w:tcPr>
          <w:p w14:paraId="664BDD5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03BFE773">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089C7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64DBF7B0">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533E4CF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铜</w:t>
            </w:r>
          </w:p>
        </w:tc>
        <w:tc>
          <w:tcPr>
            <w:tcW w:w="1083" w:type="pct"/>
            <w:vAlign w:val="center"/>
          </w:tcPr>
          <w:p w14:paraId="3B10EC1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7E60704A">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117453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514D8D9E">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5863054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锰</w:t>
            </w:r>
          </w:p>
        </w:tc>
        <w:tc>
          <w:tcPr>
            <w:tcW w:w="1083" w:type="pct"/>
            <w:vAlign w:val="center"/>
          </w:tcPr>
          <w:p w14:paraId="781D3D8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719D4E0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785D9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1E84F057">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6EDB136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钼</w:t>
            </w:r>
          </w:p>
        </w:tc>
        <w:tc>
          <w:tcPr>
            <w:tcW w:w="1083" w:type="pct"/>
            <w:vAlign w:val="center"/>
          </w:tcPr>
          <w:p w14:paraId="0967F00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4678ACC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60733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0A8F82B2">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5556558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锡</w:t>
            </w:r>
          </w:p>
        </w:tc>
        <w:tc>
          <w:tcPr>
            <w:tcW w:w="1083" w:type="pct"/>
            <w:vAlign w:val="center"/>
          </w:tcPr>
          <w:p w14:paraId="12D5699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7C901B0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5748C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3CEA9F17">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404A1CA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锌</w:t>
            </w:r>
          </w:p>
        </w:tc>
        <w:tc>
          <w:tcPr>
            <w:tcW w:w="1083" w:type="pct"/>
            <w:vAlign w:val="center"/>
          </w:tcPr>
          <w:p w14:paraId="123849E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711D6B4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79A1F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46BCFE4F">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006CD11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原材料要求(材料成分)</w:t>
            </w:r>
          </w:p>
        </w:tc>
        <w:tc>
          <w:tcPr>
            <w:tcW w:w="1083" w:type="pct"/>
            <w:vAlign w:val="center"/>
          </w:tcPr>
          <w:p w14:paraId="32DE8CD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268" w:type="pct"/>
            <w:shd w:val="clear" w:color="auto" w:fill="auto"/>
            <w:vAlign w:val="center"/>
          </w:tcPr>
          <w:p w14:paraId="26987E5D">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223（相关部分）</w:t>
            </w:r>
          </w:p>
        </w:tc>
      </w:tr>
      <w:tr w14:paraId="0E10F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4CD441FB">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4BDD4F4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总迁移量</w:t>
            </w:r>
          </w:p>
        </w:tc>
        <w:tc>
          <w:tcPr>
            <w:tcW w:w="1083" w:type="pct"/>
            <w:shd w:val="clear" w:color="auto" w:fill="FFFFFF"/>
            <w:vAlign w:val="center"/>
          </w:tcPr>
          <w:p w14:paraId="4F5B2F1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12F725E0">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31604.8—2021</w:t>
            </w:r>
          </w:p>
        </w:tc>
      </w:tr>
      <w:tr w14:paraId="42924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2B8ECA4D">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14FA578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高锰酸钾消耗量</w:t>
            </w:r>
          </w:p>
        </w:tc>
        <w:tc>
          <w:tcPr>
            <w:tcW w:w="1083" w:type="pct"/>
            <w:shd w:val="clear" w:color="auto" w:fill="FFFFFF"/>
            <w:vAlign w:val="center"/>
          </w:tcPr>
          <w:p w14:paraId="6F6B4F9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7ADA8E9E">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31604.2—2016</w:t>
            </w:r>
          </w:p>
        </w:tc>
      </w:tr>
      <w:tr w14:paraId="621AD5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7AFA9889">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2875DBE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重金属（以Pb计）</w:t>
            </w:r>
          </w:p>
        </w:tc>
        <w:tc>
          <w:tcPr>
            <w:tcW w:w="1083" w:type="pct"/>
            <w:shd w:val="clear" w:color="auto" w:fill="FFFFFF"/>
            <w:vAlign w:val="center"/>
          </w:tcPr>
          <w:p w14:paraId="090AC4E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549AEE1F">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31604.9—2016</w:t>
            </w:r>
          </w:p>
        </w:tc>
      </w:tr>
      <w:tr w14:paraId="553586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7DDF807D">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4A5B8BF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脱色试验</w:t>
            </w:r>
          </w:p>
        </w:tc>
        <w:tc>
          <w:tcPr>
            <w:tcW w:w="1083" w:type="pct"/>
            <w:shd w:val="clear" w:color="auto" w:fill="FFFFFF"/>
            <w:vAlign w:val="center"/>
          </w:tcPr>
          <w:p w14:paraId="30C0FED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6A7C5031">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31604.7—2023</w:t>
            </w:r>
          </w:p>
        </w:tc>
      </w:tr>
      <w:tr w14:paraId="43F03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04E85B77">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2EC7C40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芳香族伯胺迁移总量</w:t>
            </w:r>
          </w:p>
        </w:tc>
        <w:tc>
          <w:tcPr>
            <w:tcW w:w="1083" w:type="pct"/>
            <w:shd w:val="clear" w:color="auto" w:fill="FFFFFF"/>
            <w:vAlign w:val="center"/>
          </w:tcPr>
          <w:p w14:paraId="0E959AF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3E7DBDD9">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31604.52—2021</w:t>
            </w:r>
          </w:p>
        </w:tc>
      </w:tr>
      <w:tr w14:paraId="7D0B5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26F01546">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6CDC767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特定迁移总量（以己内酰胺计）（限PA材质）</w:t>
            </w:r>
          </w:p>
        </w:tc>
        <w:tc>
          <w:tcPr>
            <w:tcW w:w="1083" w:type="pct"/>
            <w:shd w:val="clear" w:color="auto" w:fill="FFFFFF"/>
            <w:vAlign w:val="center"/>
          </w:tcPr>
          <w:p w14:paraId="7EFB2DB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1CE8BC57">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31604.19—2016</w:t>
            </w:r>
          </w:p>
        </w:tc>
      </w:tr>
      <w:tr w14:paraId="2C737C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428AC83C">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7776E12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氯乙烯特定迁移量（限PVC、PVDC材质）</w:t>
            </w:r>
          </w:p>
        </w:tc>
        <w:tc>
          <w:tcPr>
            <w:tcW w:w="1083" w:type="pct"/>
            <w:shd w:val="clear" w:color="auto" w:fill="FFFFFF"/>
            <w:vAlign w:val="center"/>
          </w:tcPr>
          <w:p w14:paraId="57AE635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105C2B7E">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54E39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719FAF22">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0B75EF1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1，1-二氯乙烯</w:t>
            </w:r>
            <w:r>
              <w:rPr>
                <w:rFonts w:hint="default" w:ascii="Times New Roman" w:hAnsi="Times New Roman" w:cs="Times New Roman"/>
                <w:color w:val="000000" w:themeColor="text1"/>
                <w:highlight w:val="none"/>
                <w14:textFill>
                  <w14:solidFill>
                    <w14:schemeClr w14:val="tx1"/>
                  </w14:solidFill>
                </w14:textFill>
              </w:rPr>
              <w:t>特定迁移量（限PVDC材质）</w:t>
            </w:r>
          </w:p>
        </w:tc>
        <w:tc>
          <w:tcPr>
            <w:tcW w:w="1083" w:type="pct"/>
            <w:shd w:val="clear" w:color="auto" w:fill="FFFFFF"/>
            <w:vAlign w:val="center"/>
          </w:tcPr>
          <w:p w14:paraId="2C73E61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4428A30E">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44E449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0542D707">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4447F6E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1，1-二氯乙烷</w:t>
            </w:r>
            <w:r>
              <w:rPr>
                <w:rFonts w:hint="default" w:ascii="Times New Roman" w:hAnsi="Times New Roman" w:cs="Times New Roman"/>
                <w:color w:val="000000" w:themeColor="text1"/>
                <w:highlight w:val="none"/>
                <w14:textFill>
                  <w14:solidFill>
                    <w14:schemeClr w14:val="tx1"/>
                  </w14:solidFill>
                </w14:textFill>
              </w:rPr>
              <w:t>特定迁移量（限PVC材质）</w:t>
            </w:r>
          </w:p>
        </w:tc>
        <w:tc>
          <w:tcPr>
            <w:tcW w:w="1083" w:type="pct"/>
            <w:shd w:val="clear" w:color="auto" w:fill="FFFFFF"/>
            <w:vAlign w:val="center"/>
          </w:tcPr>
          <w:p w14:paraId="76B32F6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08E4C9F7">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006BC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03A6305B">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674BD56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特定迁移总量（以对苯二甲酸计）（限PET、PBT材质）</w:t>
            </w:r>
          </w:p>
        </w:tc>
        <w:tc>
          <w:tcPr>
            <w:tcW w:w="1083" w:type="pct"/>
            <w:shd w:val="clear" w:color="auto" w:fill="FFFFFF"/>
            <w:vAlign w:val="center"/>
          </w:tcPr>
          <w:p w14:paraId="2216B66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5AEF0CAA">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29726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2F2998A5">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609EEA5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w:t>
            </w:r>
            <w:r>
              <w:rPr>
                <w:rFonts w:hint="default" w:ascii="Times New Roman" w:hAnsi="Times New Roman" w:cs="Times New Roman"/>
                <w:color w:val="000000" w:themeColor="text1"/>
                <w:highlight w:val="none"/>
                <w:lang w:val="en-US" w:eastAsia="zh-CN"/>
                <w14:textFill>
                  <w14:solidFill>
                    <w14:schemeClr w14:val="tx1"/>
                  </w14:solidFill>
                </w14:textFill>
              </w:rPr>
              <w:t>间</w:t>
            </w:r>
            <w:r>
              <w:rPr>
                <w:rFonts w:hint="default" w:ascii="Times New Roman" w:hAnsi="Times New Roman" w:cs="Times New Roman"/>
                <w:color w:val="000000" w:themeColor="text1"/>
                <w:highlight w:val="none"/>
                <w14:textFill>
                  <w14:solidFill>
                    <w14:schemeClr w14:val="tx1"/>
                  </w14:solidFill>
                </w14:textFill>
              </w:rPr>
              <w:t>苯二甲酸计）（限PET材质）</w:t>
            </w:r>
          </w:p>
        </w:tc>
        <w:tc>
          <w:tcPr>
            <w:tcW w:w="1083" w:type="pct"/>
            <w:shd w:val="clear" w:color="auto" w:fill="FFFFFF"/>
            <w:vAlign w:val="center"/>
          </w:tcPr>
          <w:p w14:paraId="39AB65E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4B73B64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31604.21—</w:t>
            </w:r>
            <w:r>
              <w:rPr>
                <w:rFonts w:hint="default" w:ascii="Times New Roman" w:hAnsi="Times New Roman" w:cs="Times New Roman"/>
                <w:color w:val="000000" w:themeColor="text1"/>
                <w:highlight w:val="none"/>
                <w:lang w:val="en-US" w:eastAsia="zh-CN"/>
                <w14:textFill>
                  <w14:solidFill>
                    <w14:schemeClr w14:val="tx1"/>
                  </w14:solidFill>
                </w14:textFill>
              </w:rPr>
              <w:t>2025</w:t>
            </w:r>
          </w:p>
        </w:tc>
      </w:tr>
      <w:tr w14:paraId="63BD1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26E13061">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6E6F359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特定迁移总量（以1,2</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乙二醇计）（限PET材质）</w:t>
            </w:r>
          </w:p>
        </w:tc>
        <w:tc>
          <w:tcPr>
            <w:tcW w:w="1083" w:type="pct"/>
            <w:shd w:val="clear" w:color="auto" w:fill="FFFFFF"/>
            <w:vAlign w:val="center"/>
          </w:tcPr>
          <w:p w14:paraId="4404DB9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3C434CF0">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31604.44—2016</w:t>
            </w:r>
          </w:p>
        </w:tc>
      </w:tr>
      <w:tr w14:paraId="0D6C3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2A6F7D8C">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6FE4317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特定迁移总量（以1,4</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丁二醇计）（限PBT材质）</w:t>
            </w:r>
          </w:p>
        </w:tc>
        <w:tc>
          <w:tcPr>
            <w:tcW w:w="1083" w:type="pct"/>
            <w:shd w:val="clear" w:color="auto" w:fill="FFFFFF"/>
            <w:vAlign w:val="center"/>
          </w:tcPr>
          <w:p w14:paraId="34A3BA2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3E810103">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31604.51—2021</w:t>
            </w:r>
          </w:p>
        </w:tc>
      </w:tr>
      <w:tr w14:paraId="4D3184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2C5AD63B">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0A9AFFD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1,3</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丁二烯特定迁移量（限有丁二烯单体的聚合物）</w:t>
            </w:r>
          </w:p>
        </w:tc>
        <w:tc>
          <w:tcPr>
            <w:tcW w:w="1083" w:type="pct"/>
            <w:shd w:val="clear" w:color="auto" w:fill="FFFFFF"/>
            <w:vAlign w:val="center"/>
          </w:tcPr>
          <w:p w14:paraId="2EF41C7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046A1E69">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31604.12—2016</w:t>
            </w:r>
          </w:p>
        </w:tc>
      </w:tr>
      <w:tr w14:paraId="6A01C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13C3F6AD">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138A810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邻苯类增塑剂特定迁移量（限PVC材质）</w:t>
            </w:r>
          </w:p>
        </w:tc>
        <w:tc>
          <w:tcPr>
            <w:tcW w:w="1083" w:type="pct"/>
            <w:shd w:val="clear" w:color="auto" w:fill="FFFFFF"/>
            <w:vAlign w:val="center"/>
          </w:tcPr>
          <w:p w14:paraId="1B97949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268" w:type="pct"/>
            <w:shd w:val="clear" w:color="auto" w:fill="FFFFFF"/>
            <w:vAlign w:val="center"/>
          </w:tcPr>
          <w:p w14:paraId="0D72F076">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31604.30—20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63D23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67EE6435">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5946BB8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总迁移量</w:t>
            </w:r>
          </w:p>
        </w:tc>
        <w:tc>
          <w:tcPr>
            <w:tcW w:w="1083" w:type="pct"/>
            <w:shd w:val="clear" w:color="auto" w:fill="FFFFFF"/>
            <w:vAlign w:val="center"/>
          </w:tcPr>
          <w:p w14:paraId="2C8C0EF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268" w:type="pct"/>
            <w:shd w:val="clear" w:color="auto" w:fill="FFFFFF"/>
            <w:vAlign w:val="center"/>
          </w:tcPr>
          <w:p w14:paraId="2BE29A4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31604.8—2021</w:t>
            </w:r>
          </w:p>
        </w:tc>
      </w:tr>
      <w:tr w14:paraId="2B13B3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0E2AB65C">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5766366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高锰酸钾消耗量</w:t>
            </w:r>
          </w:p>
        </w:tc>
        <w:tc>
          <w:tcPr>
            <w:tcW w:w="1083" w:type="pct"/>
            <w:shd w:val="clear" w:color="auto" w:fill="FFFFFF"/>
            <w:vAlign w:val="center"/>
          </w:tcPr>
          <w:p w14:paraId="394E256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268" w:type="pct"/>
            <w:shd w:val="clear" w:color="auto" w:fill="FFFFFF"/>
            <w:vAlign w:val="center"/>
          </w:tcPr>
          <w:p w14:paraId="610AC73F">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31604.2—2016</w:t>
            </w:r>
          </w:p>
        </w:tc>
      </w:tr>
      <w:tr w14:paraId="5EA429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128B6EA6">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0C26017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重金属（以Pb计）</w:t>
            </w:r>
          </w:p>
        </w:tc>
        <w:tc>
          <w:tcPr>
            <w:tcW w:w="1083" w:type="pct"/>
            <w:shd w:val="clear" w:color="auto" w:fill="FFFFFF"/>
            <w:vAlign w:val="center"/>
          </w:tcPr>
          <w:p w14:paraId="1845650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268" w:type="pct"/>
            <w:shd w:val="clear" w:color="auto" w:fill="FFFFFF"/>
            <w:vAlign w:val="center"/>
          </w:tcPr>
          <w:p w14:paraId="04FFFF1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31604.9—2016</w:t>
            </w:r>
          </w:p>
        </w:tc>
      </w:tr>
      <w:tr w14:paraId="1D3D3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0FDD80C2">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522B497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芳香族伯胺迁移总量</w:t>
            </w:r>
          </w:p>
        </w:tc>
        <w:tc>
          <w:tcPr>
            <w:tcW w:w="1083" w:type="pct"/>
            <w:shd w:val="clear" w:color="auto" w:fill="FFFFFF"/>
            <w:vAlign w:val="center"/>
          </w:tcPr>
          <w:p w14:paraId="1BFD0BD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268" w:type="pct"/>
            <w:shd w:val="clear" w:color="auto" w:fill="FFFFFF"/>
            <w:vAlign w:val="center"/>
          </w:tcPr>
          <w:p w14:paraId="045AAF67">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31604.52—2021</w:t>
            </w:r>
          </w:p>
        </w:tc>
      </w:tr>
      <w:tr w14:paraId="50DDA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069A45BB">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1AAD4C1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N</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亚硝胺和N</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亚硝胺可生成物迁移总量</w:t>
            </w:r>
          </w:p>
        </w:tc>
        <w:tc>
          <w:tcPr>
            <w:tcW w:w="1083" w:type="pct"/>
            <w:shd w:val="clear" w:color="auto" w:fill="FFFFFF"/>
            <w:vAlign w:val="center"/>
          </w:tcPr>
          <w:p w14:paraId="1985C431">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268" w:type="pct"/>
            <w:shd w:val="clear" w:color="auto" w:fill="FFFFFF"/>
            <w:vAlign w:val="center"/>
          </w:tcPr>
          <w:p w14:paraId="6CBF52B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w:t>
            </w: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2—202</w:t>
            </w:r>
            <w:r>
              <w:rPr>
                <w:rFonts w:hint="default" w:ascii="Times New Roman" w:hAnsi="Times New Roman" w:cs="Times New Roman"/>
                <w:color w:val="000000" w:themeColor="text1"/>
                <w:highlight w:val="none"/>
                <w:lang w:val="en-US" w:eastAsia="zh-CN"/>
                <w14:textFill>
                  <w14:solidFill>
                    <w14:schemeClr w14:val="tx1"/>
                  </w14:solidFill>
                </w14:textFill>
              </w:rPr>
              <w:t>5</w:t>
            </w:r>
          </w:p>
        </w:tc>
      </w:tr>
      <w:tr w14:paraId="08FC0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7746C19B">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0C3B12D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总迁移量</w:t>
            </w:r>
          </w:p>
        </w:tc>
        <w:tc>
          <w:tcPr>
            <w:tcW w:w="1083" w:type="pct"/>
            <w:shd w:val="clear" w:color="auto" w:fill="FFFFFF"/>
            <w:vAlign w:val="center"/>
          </w:tcPr>
          <w:p w14:paraId="1D3F59F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w:t>
            </w:r>
          </w:p>
          <w:p w14:paraId="7E30799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268" w:type="pct"/>
            <w:shd w:val="clear" w:color="auto" w:fill="FFFFFF"/>
            <w:vAlign w:val="center"/>
          </w:tcPr>
          <w:p w14:paraId="73EAF7C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31604.8—2021</w:t>
            </w:r>
          </w:p>
        </w:tc>
      </w:tr>
      <w:tr w14:paraId="014FD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178EB054">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5616CF9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高锰酸钾消耗量</w:t>
            </w:r>
          </w:p>
        </w:tc>
        <w:tc>
          <w:tcPr>
            <w:tcW w:w="1083" w:type="pct"/>
            <w:shd w:val="clear" w:color="auto" w:fill="FFFFFF"/>
            <w:vAlign w:val="center"/>
          </w:tcPr>
          <w:p w14:paraId="2C610D5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w:t>
            </w:r>
          </w:p>
          <w:p w14:paraId="00BAD7A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268" w:type="pct"/>
            <w:shd w:val="clear" w:color="auto" w:fill="FFFFFF"/>
            <w:vAlign w:val="center"/>
          </w:tcPr>
          <w:p w14:paraId="49023F0F">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31604.2—2016</w:t>
            </w:r>
          </w:p>
        </w:tc>
      </w:tr>
      <w:tr w14:paraId="4B41E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vAlign w:val="center"/>
          </w:tcPr>
          <w:p w14:paraId="0E908539">
            <w:pPr>
              <w:numPr>
                <w:ilvl w:val="0"/>
                <w:numId w:val="1"/>
              </w:numPr>
              <w:shd w:val="clear" w:color="auto" w:fill="FFFFFF"/>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shd w:val="clear" w:color="auto" w:fill="FFFFFF"/>
            <w:vAlign w:val="center"/>
          </w:tcPr>
          <w:p w14:paraId="2EF479E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重金属（以Pb计）</w:t>
            </w:r>
          </w:p>
        </w:tc>
        <w:tc>
          <w:tcPr>
            <w:tcW w:w="1083" w:type="pct"/>
            <w:shd w:val="clear" w:color="auto" w:fill="FFFFFF"/>
            <w:vAlign w:val="center"/>
          </w:tcPr>
          <w:p w14:paraId="2678B78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w:t>
            </w:r>
          </w:p>
          <w:p w14:paraId="635EAF4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268" w:type="pct"/>
            <w:shd w:val="clear" w:color="auto" w:fill="FFFFFF"/>
            <w:vAlign w:val="center"/>
          </w:tcPr>
          <w:p w14:paraId="4B9AE3FF">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31604.9—2016</w:t>
            </w:r>
          </w:p>
        </w:tc>
      </w:tr>
      <w:tr w14:paraId="55713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347" w:type="pct"/>
            <w:shd w:val="clear" w:color="auto" w:fill="FFFFFF"/>
            <w:noWrap w:val="0"/>
            <w:vAlign w:val="center"/>
          </w:tcPr>
          <w:p w14:paraId="23853A6F">
            <w:pPr>
              <w:keepNext w:val="0"/>
              <w:keepLines w:val="0"/>
              <w:pageBreakBefore w:val="0"/>
              <w:widowControl w:val="0"/>
              <w:numPr>
                <w:ilvl w:val="0"/>
                <w:numId w:val="1"/>
              </w:numPr>
              <w:shd w:val="clear" w:color="auto" w:fill="FFFFFF"/>
              <w:kinsoku/>
              <w:wordWrap/>
              <w:overflowPunct/>
              <w:topLinePunct w:val="0"/>
              <w:autoSpaceDE/>
              <w:autoSpaceDN/>
              <w:bidi w:val="0"/>
              <w:adjustRightInd w:val="0"/>
              <w:snapToGrid w:val="0"/>
              <w:ind w:left="0" w:leftChars="0" w:firstLine="105" w:firstLineChars="50"/>
              <w:jc w:val="center"/>
              <w:textAlignment w:val="auto"/>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300" w:type="pct"/>
            <w:shd w:val="clear" w:color="auto" w:fill="FFFFFF"/>
            <w:noWrap w:val="0"/>
            <w:vAlign w:val="center"/>
          </w:tcPr>
          <w:p w14:paraId="3DB46215">
            <w:pPr>
              <w:adjustRightInd w:val="0"/>
              <w:snapToGrid w:val="0"/>
              <w:jc w:val="center"/>
              <w:rPr>
                <w:rFonts w:hint="default" w:ascii="Times New Roman" w:hAnsi="Times New Roman" w:cs="Times New Roman"/>
                <w:color w:val="000000" w:themeColor="text1"/>
                <w:highlight w:val="none"/>
                <w:lang w:eastAsia="zh-CN"/>
                <w14:textFill>
                  <w14:solidFill>
                    <w14:schemeClr w14:val="tx1"/>
                  </w14:solidFill>
                </w14:textFill>
              </w:rPr>
            </w:pPr>
            <w:r>
              <w:rPr>
                <w:rFonts w:hint="default" w:ascii="Times New Roman" w:hAnsi="Times New Roman" w:cs="Times New Roman"/>
                <w:color w:val="000000" w:themeColor="text1"/>
                <w:highlight w:val="none"/>
                <w:lang w:eastAsia="zh-CN"/>
                <w14:textFill>
                  <w14:solidFill>
                    <w14:schemeClr w14:val="tx1"/>
                  </w14:solidFill>
                </w14:textFill>
              </w:rPr>
              <w:t>挥发性物质</w:t>
            </w:r>
          </w:p>
        </w:tc>
        <w:tc>
          <w:tcPr>
            <w:tcW w:w="1083" w:type="pct"/>
            <w:shd w:val="clear" w:color="auto" w:fill="FFFFFF"/>
            <w:noWrap w:val="0"/>
            <w:vAlign w:val="center"/>
          </w:tcPr>
          <w:p w14:paraId="714F0C09">
            <w:pPr>
              <w:adjustRightInd w:val="0"/>
              <w:snapToGrid w:val="0"/>
              <w:jc w:val="center"/>
              <w:rPr>
                <w:rFonts w:hint="default" w:ascii="Times New Roman" w:hAnsi="Times New Roman" w:cs="Times New Roman"/>
                <w:color w:val="000000" w:themeColor="text1"/>
                <w:highlight w:val="none"/>
                <w:lang w:val="en-US"/>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268" w:type="pct"/>
            <w:shd w:val="clear" w:color="auto" w:fill="FFFFFF"/>
            <w:noWrap w:val="0"/>
            <w:vAlign w:val="center"/>
          </w:tcPr>
          <w:p w14:paraId="412062E3">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w:t>
            </w: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—202</w:t>
            </w:r>
            <w:r>
              <w:rPr>
                <w:rFonts w:hint="default" w:ascii="Times New Roman" w:hAnsi="Times New Roman" w:cs="Times New Roman"/>
                <w:color w:val="000000" w:themeColor="text1"/>
                <w:highlight w:val="none"/>
                <w:lang w:val="en-US" w:eastAsia="zh-CN"/>
                <w14:textFill>
                  <w14:solidFill>
                    <w14:schemeClr w14:val="tx1"/>
                  </w14:solidFill>
                </w14:textFill>
              </w:rPr>
              <w:t>5</w:t>
            </w:r>
          </w:p>
        </w:tc>
      </w:tr>
      <w:tr w14:paraId="4153D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673CD912">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32A0C95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结构特性</w:t>
            </w:r>
          </w:p>
        </w:tc>
        <w:tc>
          <w:tcPr>
            <w:tcW w:w="1083" w:type="pct"/>
            <w:vAlign w:val="center"/>
          </w:tcPr>
          <w:p w14:paraId="260E82F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68400091">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7877D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2CF1D775">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768F524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机械安全</w:t>
            </w:r>
          </w:p>
        </w:tc>
        <w:tc>
          <w:tcPr>
            <w:tcW w:w="1083" w:type="pct"/>
            <w:vAlign w:val="center"/>
          </w:tcPr>
          <w:p w14:paraId="3E281B0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66EDD7C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2D6463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48E367BD">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4F1F89B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电气安全</w:t>
            </w:r>
          </w:p>
        </w:tc>
        <w:tc>
          <w:tcPr>
            <w:tcW w:w="1083" w:type="pct"/>
            <w:vAlign w:val="center"/>
          </w:tcPr>
          <w:p w14:paraId="2388872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26BB3DA5">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69524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43D30A7F">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628A0C9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可洗净性</w:t>
            </w:r>
          </w:p>
        </w:tc>
        <w:tc>
          <w:tcPr>
            <w:tcW w:w="1083" w:type="pct"/>
            <w:vAlign w:val="center"/>
          </w:tcPr>
          <w:p w14:paraId="3342EEC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5FB0875C">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5633A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3EA72DB3">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7756B38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在线清洗和在线消毒</w:t>
            </w:r>
          </w:p>
        </w:tc>
        <w:tc>
          <w:tcPr>
            <w:tcW w:w="1083" w:type="pct"/>
            <w:vAlign w:val="center"/>
          </w:tcPr>
          <w:p w14:paraId="089EFC2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2FF092D1">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5DCA2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3D2E6642">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47E5721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产品接触和非接触表面</w:t>
            </w:r>
          </w:p>
        </w:tc>
        <w:tc>
          <w:tcPr>
            <w:tcW w:w="1083" w:type="pct"/>
            <w:vAlign w:val="center"/>
          </w:tcPr>
          <w:p w14:paraId="7F37BED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3A6DC638">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6E6A0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33733997">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193B24D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可拆卸性</w:t>
            </w:r>
          </w:p>
        </w:tc>
        <w:tc>
          <w:tcPr>
            <w:tcW w:w="1083" w:type="pct"/>
            <w:vAlign w:val="center"/>
          </w:tcPr>
          <w:p w14:paraId="53A76CA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6F61D06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6C027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347" w:type="pct"/>
            <w:vAlign w:val="center"/>
          </w:tcPr>
          <w:p w14:paraId="7589CFD1">
            <w:pPr>
              <w:numPr>
                <w:ilvl w:val="0"/>
                <w:numId w:val="1"/>
              </w:numPr>
              <w:adjustRightInd w:val="0"/>
              <w:snapToGrid w:val="0"/>
              <w:ind w:left="0" w:firstLine="105" w:firstLineChars="50"/>
              <w:jc w:val="center"/>
              <w:rPr>
                <w:rFonts w:hint="default" w:ascii="Times New Roman" w:hAnsi="Times New Roman" w:cs="Times New Roman"/>
                <w:color w:val="000000" w:themeColor="text1"/>
                <w:highlight w:val="none"/>
                <w14:textFill>
                  <w14:solidFill>
                    <w14:schemeClr w14:val="tx1"/>
                  </w14:solidFill>
                </w14:textFill>
              </w:rPr>
            </w:pPr>
          </w:p>
        </w:tc>
        <w:tc>
          <w:tcPr>
            <w:tcW w:w="2300" w:type="pct"/>
            <w:vAlign w:val="center"/>
          </w:tcPr>
          <w:p w14:paraId="3334C48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可检查性</w:t>
            </w:r>
          </w:p>
        </w:tc>
        <w:tc>
          <w:tcPr>
            <w:tcW w:w="1083" w:type="pct"/>
            <w:vAlign w:val="center"/>
          </w:tcPr>
          <w:p w14:paraId="0F40F78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c>
          <w:tcPr>
            <w:tcW w:w="1268" w:type="pct"/>
            <w:shd w:val="clear" w:color="auto" w:fill="auto"/>
            <w:vAlign w:val="center"/>
          </w:tcPr>
          <w:p w14:paraId="302978E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p>
        </w:tc>
      </w:tr>
      <w:tr w14:paraId="6CC9A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5" w:hRule="atLeast"/>
        </w:trPr>
        <w:tc>
          <w:tcPr>
            <w:tcW w:w="5000" w:type="pct"/>
            <w:gridSpan w:val="4"/>
          </w:tcPr>
          <w:p w14:paraId="523AD6B4">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注：</w:t>
            </w:r>
          </w:p>
          <w:p w14:paraId="26E79BEB">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1.本表的第1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1</w:t>
            </w:r>
            <w:r>
              <w:rPr>
                <w:rFonts w:hint="eastAsia"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项适用于金属材质；</w:t>
            </w:r>
          </w:p>
          <w:p w14:paraId="7BC4B889">
            <w:pPr>
              <w:tabs>
                <w:tab w:val="left" w:pos="312"/>
              </w:tabs>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2.本表的第1</w:t>
            </w:r>
            <w:r>
              <w:rPr>
                <w:rFonts w:hint="eastAsia" w:ascii="Times New Roman" w:hAnsi="Times New Roman" w:cs="Times New Roman"/>
                <w:color w:val="000000" w:themeColor="text1"/>
                <w:highlight w:val="none"/>
                <w:lang w:val="en-US" w:eastAsia="zh-CN"/>
                <w14:textFill>
                  <w14:solidFill>
                    <w14:schemeClr w14:val="tx1"/>
                  </w14:solidFill>
                </w14:textFill>
              </w:rPr>
              <w:t>5</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w:t>
            </w:r>
            <w:r>
              <w:rPr>
                <w:rFonts w:hint="eastAsia"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14:textFill>
                  <w14:solidFill>
                    <w14:schemeClr w14:val="tx1"/>
                  </w14:solidFill>
                </w14:textFill>
              </w:rPr>
              <w:t>项适用于塑料材质；</w:t>
            </w:r>
          </w:p>
          <w:p w14:paraId="1D738CBD">
            <w:pPr>
              <w:tabs>
                <w:tab w:val="left" w:pos="312"/>
              </w:tabs>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3.本表的第</w:t>
            </w:r>
            <w:r>
              <w:rPr>
                <w:rFonts w:hint="eastAsia" w:ascii="Times New Roman" w:hAnsi="Times New Roman" w:cs="Times New Roman"/>
                <w:color w:val="000000" w:themeColor="text1"/>
                <w:highlight w:val="none"/>
                <w:lang w:val="en-US" w:eastAsia="zh-CN"/>
                <w14:textFill>
                  <w14:solidFill>
                    <w14:schemeClr w14:val="tx1"/>
                  </w14:solidFill>
                </w14:textFill>
              </w:rPr>
              <w:t>30</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项适用于橡胶材质；</w:t>
            </w:r>
          </w:p>
          <w:p w14:paraId="7B1DB038">
            <w:pPr>
              <w:tabs>
                <w:tab w:val="left" w:pos="312"/>
              </w:tabs>
              <w:adjustRightInd w:val="0"/>
              <w:snapToGrid w:val="0"/>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5</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8</w:t>
            </w:r>
            <w:r>
              <w:rPr>
                <w:rFonts w:hint="default" w:ascii="Times New Roman" w:hAnsi="Times New Roman" w:cs="Times New Roman"/>
                <w:color w:val="000000" w:themeColor="text1"/>
                <w:highlight w:val="none"/>
                <w14:textFill>
                  <w14:solidFill>
                    <w14:schemeClr w14:val="tx1"/>
                  </w14:solidFill>
                </w14:textFill>
              </w:rPr>
              <w:t>项适用于</w:t>
            </w:r>
            <w:r>
              <w:rPr>
                <w:rFonts w:hint="default" w:ascii="Times New Roman" w:hAnsi="Times New Roman" w:cs="Times New Roman"/>
                <w:color w:val="000000" w:themeColor="text1"/>
                <w:highlight w:val="none"/>
                <w:lang w:val="en-US" w:eastAsia="zh-CN"/>
                <w14:textFill>
                  <w14:solidFill>
                    <w14:schemeClr w14:val="tx1"/>
                  </w14:solidFill>
                </w14:textFill>
              </w:rPr>
              <w:t>硅橡胶材质；</w:t>
            </w:r>
          </w:p>
          <w:p w14:paraId="4960433A">
            <w:pPr>
              <w:tabs>
                <w:tab w:val="left" w:pos="312"/>
              </w:tabs>
              <w:adjustRightInd w:val="0"/>
              <w:snapToGrid w:val="0"/>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5.本表的第1</w:t>
            </w:r>
            <w:r>
              <w:rPr>
                <w:rFonts w:hint="eastAsia"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lang w:val="en-US" w:eastAsia="zh-CN"/>
                <w14:textFill>
                  <w14:solidFill>
                    <w14:schemeClr w14:val="tx1"/>
                  </w14:solidFill>
                </w14:textFill>
              </w:rPr>
              <w:t>项仅适用于含有芳香族异氰酸酯和偶氮类着色剂等可能产生芳香族伯胺类物质的塑料材质；</w:t>
            </w:r>
          </w:p>
          <w:p w14:paraId="62D31246">
            <w:pPr>
              <w:shd w:val="clear" w:color="auto" w:fill="FFFFFF"/>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项仅适用于含有胺类防老剂、次磺酰胺类硫化促进剂、偶氮类着色剂等可能产生芳香族伯胺的橡胶</w:t>
            </w:r>
            <w:r>
              <w:rPr>
                <w:rFonts w:hint="default" w:ascii="Times New Roman" w:hAnsi="Times New Roman" w:cs="Times New Roman"/>
                <w:color w:val="000000" w:themeColor="text1"/>
                <w:highlight w:val="none"/>
                <w:lang w:val="en-US" w:eastAsia="zh-CN"/>
                <w14:textFill>
                  <w14:solidFill>
                    <w14:schemeClr w14:val="tx1"/>
                  </w14:solidFill>
                </w14:textFill>
              </w:rPr>
              <w:t>材质</w:t>
            </w:r>
            <w:r>
              <w:rPr>
                <w:rFonts w:hint="default" w:ascii="Times New Roman" w:hAnsi="Times New Roman" w:cs="Times New Roman"/>
                <w:color w:val="000000" w:themeColor="text1"/>
                <w:highlight w:val="none"/>
                <w14:textFill>
                  <w14:solidFill>
                    <w14:schemeClr w14:val="tx1"/>
                  </w14:solidFill>
                </w14:textFill>
              </w:rPr>
              <w:t>；</w:t>
            </w:r>
          </w:p>
          <w:p w14:paraId="0156EE1A">
            <w:pPr>
              <w:tabs>
                <w:tab w:val="left" w:pos="312"/>
              </w:tabs>
              <w:adjustRightInd w:val="0"/>
              <w:snapToGrid w:val="0"/>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7</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项仅适用于含有硫化促进剂等可能产生N</w:t>
            </w:r>
            <w:r>
              <w:rPr>
                <w:rFonts w:hint="default"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亚硝胺和N</w:t>
            </w:r>
            <w:r>
              <w:rPr>
                <w:rFonts w:hint="default"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亚硝胺可生成物的橡胶</w:t>
            </w:r>
            <w:r>
              <w:rPr>
                <w:rFonts w:hint="default" w:ascii="Times New Roman" w:hAnsi="Times New Roman" w:cs="Times New Roman"/>
                <w:color w:val="000000" w:themeColor="text1"/>
                <w:highlight w:val="none"/>
                <w:lang w:val="en-US" w:eastAsia="zh-CN"/>
                <w14:textFill>
                  <w14:solidFill>
                    <w14:schemeClr w14:val="tx1"/>
                  </w14:solidFill>
                </w14:textFill>
              </w:rPr>
              <w:t>材质</w:t>
            </w:r>
            <w:r>
              <w:rPr>
                <w:rFonts w:hint="default" w:ascii="Times New Roman" w:hAnsi="Times New Roman" w:cs="Times New Roman"/>
                <w:color w:val="000000" w:themeColor="text1"/>
                <w:highlight w:val="none"/>
                <w14:textFill>
                  <w14:solidFill>
                    <w14:schemeClr w14:val="tx1"/>
                  </w14:solidFill>
                </w14:textFill>
              </w:rPr>
              <w:t>。</w:t>
            </w:r>
          </w:p>
        </w:tc>
      </w:tr>
    </w:tbl>
    <w:p w14:paraId="34205F1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eastAsia="黑体"/>
          <w:szCs w:val="21"/>
        </w:rPr>
      </w:pPr>
    </w:p>
    <w:p w14:paraId="699218EC">
      <w:pPr>
        <w:adjustRightInd w:val="0"/>
        <w:snapToGrid w:val="0"/>
        <w:spacing w:before="156" w:beforeLines="50" w:line="360" w:lineRule="auto"/>
        <w:rPr>
          <w:rFonts w:cs="宋体"/>
        </w:rPr>
      </w:pPr>
      <w:r>
        <w:rPr>
          <w:rFonts w:hint="eastAsia" w:eastAsia="黑体"/>
          <w:szCs w:val="21"/>
        </w:rPr>
        <w:t>2.2</w:t>
      </w:r>
      <w:r>
        <w:rPr>
          <w:rFonts w:hint="eastAsia" w:cs="宋体"/>
        </w:rPr>
        <w:t>商用电动食品加工设备</w:t>
      </w:r>
    </w:p>
    <w:tbl>
      <w:tblPr>
        <w:tblStyle w:val="4"/>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2"/>
        <w:gridCol w:w="3852"/>
        <w:gridCol w:w="2199"/>
        <w:gridCol w:w="2483"/>
      </w:tblGrid>
      <w:tr w14:paraId="34B27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blHeader/>
        </w:trPr>
        <w:tc>
          <w:tcPr>
            <w:tcW w:w="288" w:type="pct"/>
            <w:vAlign w:val="center"/>
          </w:tcPr>
          <w:p w14:paraId="7522FDBE">
            <w:pPr>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序号</w:t>
            </w:r>
          </w:p>
        </w:tc>
        <w:tc>
          <w:tcPr>
            <w:tcW w:w="2127" w:type="pct"/>
            <w:vAlign w:val="center"/>
          </w:tcPr>
          <w:p w14:paraId="05778B4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检验项目</w:t>
            </w:r>
          </w:p>
        </w:tc>
        <w:tc>
          <w:tcPr>
            <w:tcW w:w="1214" w:type="pct"/>
            <w:shd w:val="clear" w:color="auto" w:fill="FFFFFF"/>
            <w:vAlign w:val="center"/>
          </w:tcPr>
          <w:p w14:paraId="364DE74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检验依据</w:t>
            </w:r>
          </w:p>
        </w:tc>
        <w:tc>
          <w:tcPr>
            <w:tcW w:w="1368" w:type="pct"/>
            <w:shd w:val="clear" w:color="auto" w:fill="FFFFFF"/>
            <w:vAlign w:val="center"/>
          </w:tcPr>
          <w:p w14:paraId="31DB3471">
            <w:pPr>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检验方法</w:t>
            </w:r>
          </w:p>
        </w:tc>
      </w:tr>
      <w:tr w14:paraId="4C351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77F3E56B">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10DF1A1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砷</w:t>
            </w:r>
          </w:p>
        </w:tc>
        <w:tc>
          <w:tcPr>
            <w:tcW w:w="1214" w:type="pct"/>
            <w:vAlign w:val="center"/>
          </w:tcPr>
          <w:p w14:paraId="36E3C5C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6805A7F6">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27A61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145D82AB">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7018C2C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镉</w:t>
            </w:r>
          </w:p>
        </w:tc>
        <w:tc>
          <w:tcPr>
            <w:tcW w:w="1214" w:type="pct"/>
            <w:vAlign w:val="center"/>
          </w:tcPr>
          <w:p w14:paraId="09799D9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4356FD9A">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2D446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12C2FC97">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607E263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铅</w:t>
            </w:r>
          </w:p>
        </w:tc>
        <w:tc>
          <w:tcPr>
            <w:tcW w:w="1214" w:type="pct"/>
            <w:vAlign w:val="center"/>
          </w:tcPr>
          <w:p w14:paraId="36A006E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2DD38493">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4EA17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21450A6C">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238F713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镍</w:t>
            </w:r>
          </w:p>
        </w:tc>
        <w:tc>
          <w:tcPr>
            <w:tcW w:w="1214" w:type="pct"/>
            <w:vAlign w:val="center"/>
          </w:tcPr>
          <w:p w14:paraId="04716A3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0058B1FF">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17AF5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7AF7CEEB">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452A5CF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铬</w:t>
            </w:r>
          </w:p>
        </w:tc>
        <w:tc>
          <w:tcPr>
            <w:tcW w:w="1214" w:type="pct"/>
            <w:vAlign w:val="center"/>
          </w:tcPr>
          <w:p w14:paraId="598C67B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17D3A6D3">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0D9F6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16CBCACE">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622996A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锑</w:t>
            </w:r>
          </w:p>
        </w:tc>
        <w:tc>
          <w:tcPr>
            <w:tcW w:w="1214" w:type="pct"/>
            <w:vAlign w:val="center"/>
          </w:tcPr>
          <w:p w14:paraId="20DB07F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2B6588C5">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50C991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39C698D4">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1193E41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铝</w:t>
            </w:r>
          </w:p>
        </w:tc>
        <w:tc>
          <w:tcPr>
            <w:tcW w:w="1214" w:type="pct"/>
            <w:vAlign w:val="center"/>
          </w:tcPr>
          <w:p w14:paraId="71D9433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7B9C4F85">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5E9DA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3498637F">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00CDA75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钴</w:t>
            </w:r>
          </w:p>
        </w:tc>
        <w:tc>
          <w:tcPr>
            <w:tcW w:w="1214" w:type="pct"/>
            <w:vAlign w:val="center"/>
          </w:tcPr>
          <w:p w14:paraId="30DCC71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3364392A">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141C1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6200CD7D">
            <w:pPr>
              <w:keepNext w:val="0"/>
              <w:keepLines w:val="0"/>
              <w:pageBreakBefore w:val="0"/>
              <w:widowControl w:val="0"/>
              <w:numPr>
                <w:ilvl w:val="0"/>
                <w:numId w:val="2"/>
              </w:numPr>
              <w:kinsoku/>
              <w:wordWrap/>
              <w:overflowPunct/>
              <w:topLinePunct w:val="0"/>
              <w:autoSpaceDE/>
              <w:autoSpaceDN/>
              <w:bidi w:val="0"/>
              <w:adjustRightInd w:val="0"/>
              <w:snapToGrid w:val="0"/>
              <w:ind w:left="0" w:leftChars="0" w:firstLine="144" w:firstLineChars="69"/>
              <w:jc w:val="center"/>
              <w:textAlignment w:val="auto"/>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33C2D41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铜</w:t>
            </w:r>
          </w:p>
        </w:tc>
        <w:tc>
          <w:tcPr>
            <w:tcW w:w="1214" w:type="pct"/>
            <w:vAlign w:val="center"/>
          </w:tcPr>
          <w:p w14:paraId="23F2AD1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48F1793A">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4986D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11946F31">
            <w:pPr>
              <w:keepNext w:val="0"/>
              <w:keepLines w:val="0"/>
              <w:pageBreakBefore w:val="0"/>
              <w:numPr>
                <w:ilvl w:val="0"/>
                <w:numId w:val="2"/>
              </w:numPr>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4AF8CDF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锰</w:t>
            </w:r>
          </w:p>
        </w:tc>
        <w:tc>
          <w:tcPr>
            <w:tcW w:w="1214" w:type="pct"/>
            <w:vAlign w:val="center"/>
          </w:tcPr>
          <w:p w14:paraId="60A6475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3DE8D5F5">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5C1AE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678D8EC5">
            <w:pPr>
              <w:keepNext w:val="0"/>
              <w:keepLines w:val="0"/>
              <w:pageBreakBefore w:val="0"/>
              <w:numPr>
                <w:ilvl w:val="0"/>
                <w:numId w:val="2"/>
              </w:numPr>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60D8FFC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钼</w:t>
            </w:r>
          </w:p>
        </w:tc>
        <w:tc>
          <w:tcPr>
            <w:tcW w:w="1214" w:type="pct"/>
            <w:vAlign w:val="center"/>
          </w:tcPr>
          <w:p w14:paraId="7A2E316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28F378F0">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0C65C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434767D9">
            <w:pPr>
              <w:keepNext w:val="0"/>
              <w:keepLines w:val="0"/>
              <w:pageBreakBefore w:val="0"/>
              <w:numPr>
                <w:ilvl w:val="0"/>
                <w:numId w:val="2"/>
              </w:numPr>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52DA554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锡</w:t>
            </w:r>
          </w:p>
        </w:tc>
        <w:tc>
          <w:tcPr>
            <w:tcW w:w="1214" w:type="pct"/>
            <w:vAlign w:val="center"/>
          </w:tcPr>
          <w:p w14:paraId="4953A0B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2AA92BD6">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79CB1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4CC27B63">
            <w:pPr>
              <w:keepNext w:val="0"/>
              <w:keepLines w:val="0"/>
              <w:pageBreakBefore w:val="0"/>
              <w:numPr>
                <w:ilvl w:val="0"/>
                <w:numId w:val="2"/>
              </w:numPr>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539EDB6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锌</w:t>
            </w:r>
          </w:p>
        </w:tc>
        <w:tc>
          <w:tcPr>
            <w:tcW w:w="1214" w:type="pct"/>
            <w:vAlign w:val="center"/>
          </w:tcPr>
          <w:p w14:paraId="7EBF0A1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5F9EF6AF">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31604.49—2023</w:t>
            </w:r>
          </w:p>
        </w:tc>
      </w:tr>
      <w:tr w14:paraId="1CBD6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0A59966E">
            <w:pPr>
              <w:keepNext w:val="0"/>
              <w:keepLines w:val="0"/>
              <w:pageBreakBefore w:val="0"/>
              <w:numPr>
                <w:ilvl w:val="0"/>
                <w:numId w:val="2"/>
              </w:numPr>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vAlign w:val="center"/>
          </w:tcPr>
          <w:p w14:paraId="3951A8A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原材料要求(材料成分)</w:t>
            </w:r>
          </w:p>
        </w:tc>
        <w:tc>
          <w:tcPr>
            <w:tcW w:w="1214" w:type="pct"/>
            <w:vAlign w:val="center"/>
          </w:tcPr>
          <w:p w14:paraId="16CA3F1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368" w:type="pct"/>
            <w:shd w:val="clear" w:color="auto" w:fill="auto"/>
            <w:vAlign w:val="center"/>
          </w:tcPr>
          <w:p w14:paraId="433E3112">
            <w:pPr>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kern w:val="0"/>
                <w:szCs w:val="21"/>
              </w:rPr>
              <w:t>GB/T 223（相关部分）</w:t>
            </w:r>
          </w:p>
        </w:tc>
      </w:tr>
      <w:tr w14:paraId="48D30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7506BC0C">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06A7F84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总迁移量</w:t>
            </w:r>
          </w:p>
        </w:tc>
        <w:tc>
          <w:tcPr>
            <w:tcW w:w="1214" w:type="pct"/>
            <w:shd w:val="clear" w:color="auto" w:fill="FFFFFF"/>
            <w:vAlign w:val="center"/>
          </w:tcPr>
          <w:p w14:paraId="3799E0D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26C5CBE9">
            <w:pPr>
              <w:shd w:val="clear" w:color="auto" w:fill="FFFFFF"/>
              <w:adjustRightInd w:val="0"/>
              <w:snapToGrid w:val="0"/>
              <w:jc w:val="center"/>
              <w:textAlignment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31604.8—2021</w:t>
            </w:r>
          </w:p>
        </w:tc>
      </w:tr>
      <w:tr w14:paraId="21CD7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1013FE1A">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31901A8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高锰酸钾消耗量</w:t>
            </w:r>
          </w:p>
        </w:tc>
        <w:tc>
          <w:tcPr>
            <w:tcW w:w="1214" w:type="pct"/>
            <w:shd w:val="clear" w:color="auto" w:fill="FFFFFF"/>
            <w:vAlign w:val="center"/>
          </w:tcPr>
          <w:p w14:paraId="21741D9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575A2C23">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31604.2—2016</w:t>
            </w:r>
          </w:p>
        </w:tc>
      </w:tr>
      <w:tr w14:paraId="2E16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0B8D13BE">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40AA16E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重金属（以Pb计）</w:t>
            </w:r>
          </w:p>
        </w:tc>
        <w:tc>
          <w:tcPr>
            <w:tcW w:w="1214" w:type="pct"/>
            <w:shd w:val="clear" w:color="auto" w:fill="FFFFFF"/>
            <w:vAlign w:val="center"/>
          </w:tcPr>
          <w:p w14:paraId="26B2DB9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398F101B">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31604.9—2016</w:t>
            </w:r>
          </w:p>
        </w:tc>
      </w:tr>
      <w:tr w14:paraId="6E9E0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144B9169">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2192EE5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脱色试验</w:t>
            </w:r>
          </w:p>
        </w:tc>
        <w:tc>
          <w:tcPr>
            <w:tcW w:w="1214" w:type="pct"/>
            <w:shd w:val="clear" w:color="auto" w:fill="FFFFFF"/>
            <w:vAlign w:val="center"/>
          </w:tcPr>
          <w:p w14:paraId="3D8D4CE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29850972">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31604.7—2023</w:t>
            </w:r>
          </w:p>
        </w:tc>
      </w:tr>
      <w:tr w14:paraId="175F2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2CA57667">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18E3685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芳香族伯胺迁移总量</w:t>
            </w:r>
          </w:p>
        </w:tc>
        <w:tc>
          <w:tcPr>
            <w:tcW w:w="1214" w:type="pct"/>
            <w:shd w:val="clear" w:color="auto" w:fill="FFFFFF"/>
            <w:vAlign w:val="center"/>
          </w:tcPr>
          <w:p w14:paraId="062C0A0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71EDB5CD">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31604.52—2021</w:t>
            </w:r>
          </w:p>
        </w:tc>
      </w:tr>
      <w:tr w14:paraId="589BD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3245CBFA">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24E8A30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特定迁移总量（以己内酰胺计）（限PA材质）</w:t>
            </w:r>
          </w:p>
        </w:tc>
        <w:tc>
          <w:tcPr>
            <w:tcW w:w="1214" w:type="pct"/>
            <w:shd w:val="clear" w:color="auto" w:fill="FFFFFF"/>
            <w:vAlign w:val="center"/>
          </w:tcPr>
          <w:p w14:paraId="43C0FE8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4E84F0BF">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31604.19—2016</w:t>
            </w:r>
          </w:p>
        </w:tc>
      </w:tr>
      <w:tr w14:paraId="62488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3E8D13EC">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0D0B1EC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氯乙烯特定迁移量（限PVC、PVDC材质）</w:t>
            </w:r>
          </w:p>
        </w:tc>
        <w:tc>
          <w:tcPr>
            <w:tcW w:w="1214" w:type="pct"/>
            <w:shd w:val="clear" w:color="auto" w:fill="FFFFFF"/>
            <w:vAlign w:val="center"/>
          </w:tcPr>
          <w:p w14:paraId="159D638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5B831C2C">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20F66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28AED3D4">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69CFE209">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1，1-二氯乙烯</w:t>
            </w:r>
            <w:r>
              <w:rPr>
                <w:rFonts w:hint="default" w:ascii="Times New Roman" w:hAnsi="Times New Roman" w:cs="Times New Roman"/>
                <w:color w:val="000000" w:themeColor="text1"/>
                <w:highlight w:val="none"/>
                <w14:textFill>
                  <w14:solidFill>
                    <w14:schemeClr w14:val="tx1"/>
                  </w14:solidFill>
                </w14:textFill>
              </w:rPr>
              <w:t>特定迁移量（限PVDC材质）</w:t>
            </w:r>
          </w:p>
        </w:tc>
        <w:tc>
          <w:tcPr>
            <w:tcW w:w="1214" w:type="pct"/>
            <w:shd w:val="clear" w:color="auto" w:fill="FFFFFF"/>
            <w:vAlign w:val="center"/>
          </w:tcPr>
          <w:p w14:paraId="176819A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235D42D1">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138DD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2946C735">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1CD52C67">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1，1-二氯乙烷</w:t>
            </w:r>
            <w:r>
              <w:rPr>
                <w:rFonts w:hint="default" w:ascii="Times New Roman" w:hAnsi="Times New Roman" w:cs="Times New Roman"/>
                <w:color w:val="000000" w:themeColor="text1"/>
                <w:highlight w:val="none"/>
                <w14:textFill>
                  <w14:solidFill>
                    <w14:schemeClr w14:val="tx1"/>
                  </w14:solidFill>
                </w14:textFill>
              </w:rPr>
              <w:t>特定迁移量（限PVC材质）</w:t>
            </w:r>
          </w:p>
        </w:tc>
        <w:tc>
          <w:tcPr>
            <w:tcW w:w="1214" w:type="pct"/>
            <w:shd w:val="clear" w:color="auto" w:fill="FFFFFF"/>
            <w:vAlign w:val="center"/>
          </w:tcPr>
          <w:p w14:paraId="0BB8687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694E3407">
            <w:pPr>
              <w:shd w:val="clear" w:color="auto" w:fill="FFFFFF"/>
              <w:adjustRightInd w:val="0"/>
              <w:snapToGrid w:val="0"/>
              <w:jc w:val="center"/>
              <w:rPr>
                <w:rFonts w:hint="default" w:ascii="Times New Roman" w:hAnsi="Times New Roman" w:cs="Times New Roman" w:eastAsiaTheme="minorEastAsia"/>
                <w:color w:val="000000" w:themeColor="text1"/>
                <w:kern w:val="2"/>
                <w:sz w:val="21"/>
                <w:szCs w:val="24"/>
                <w:highlight w:val="none"/>
                <w:lang w:val="en-US" w:eastAsia="zh-CN" w:bidi="ar-SA"/>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4B54E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44504951">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03C045FD">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特定迁移总量（以对苯二甲酸计）（限PET、PBT材质）</w:t>
            </w:r>
          </w:p>
        </w:tc>
        <w:tc>
          <w:tcPr>
            <w:tcW w:w="1214" w:type="pct"/>
            <w:shd w:val="clear" w:color="auto" w:fill="FFFFFF"/>
            <w:vAlign w:val="center"/>
          </w:tcPr>
          <w:p w14:paraId="5AE07B8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74441ED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31604.21—20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55FE4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6F2D0CA2">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747AEB97">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w:t>
            </w:r>
            <w:r>
              <w:rPr>
                <w:rFonts w:hint="default" w:ascii="Times New Roman" w:hAnsi="Times New Roman" w:cs="Times New Roman"/>
                <w:color w:val="000000" w:themeColor="text1"/>
                <w:highlight w:val="none"/>
                <w:lang w:val="en-US" w:eastAsia="zh-CN"/>
                <w14:textFill>
                  <w14:solidFill>
                    <w14:schemeClr w14:val="tx1"/>
                  </w14:solidFill>
                </w14:textFill>
              </w:rPr>
              <w:t>间</w:t>
            </w:r>
            <w:r>
              <w:rPr>
                <w:rFonts w:hint="default" w:ascii="Times New Roman" w:hAnsi="Times New Roman" w:cs="Times New Roman"/>
                <w:color w:val="000000" w:themeColor="text1"/>
                <w:highlight w:val="none"/>
                <w14:textFill>
                  <w14:solidFill>
                    <w14:schemeClr w14:val="tx1"/>
                  </w14:solidFill>
                </w14:textFill>
              </w:rPr>
              <w:t>苯二甲酸计）（限PET材质）</w:t>
            </w:r>
          </w:p>
        </w:tc>
        <w:tc>
          <w:tcPr>
            <w:tcW w:w="1214" w:type="pct"/>
            <w:shd w:val="clear" w:color="auto" w:fill="FFFFFF"/>
            <w:vAlign w:val="center"/>
          </w:tcPr>
          <w:p w14:paraId="063182D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24A63959">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31604.21—</w:t>
            </w:r>
            <w:r>
              <w:rPr>
                <w:rFonts w:hint="default" w:ascii="Times New Roman" w:hAnsi="Times New Roman" w:cs="Times New Roman"/>
                <w:color w:val="000000" w:themeColor="text1"/>
                <w:highlight w:val="none"/>
                <w:lang w:val="en-US" w:eastAsia="zh-CN"/>
                <w14:textFill>
                  <w14:solidFill>
                    <w14:schemeClr w14:val="tx1"/>
                  </w14:solidFill>
                </w14:textFill>
              </w:rPr>
              <w:t>2025</w:t>
            </w:r>
          </w:p>
        </w:tc>
      </w:tr>
      <w:tr w14:paraId="23075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4AA30751">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7A405BBC">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特定迁移总量（以1,2</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乙二醇计）（限PET材质）</w:t>
            </w:r>
          </w:p>
        </w:tc>
        <w:tc>
          <w:tcPr>
            <w:tcW w:w="1214" w:type="pct"/>
            <w:shd w:val="clear" w:color="auto" w:fill="FFFFFF"/>
            <w:vAlign w:val="center"/>
          </w:tcPr>
          <w:p w14:paraId="62F0653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4250E54A">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31604.44—2016</w:t>
            </w:r>
          </w:p>
        </w:tc>
      </w:tr>
      <w:tr w14:paraId="5F481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61081ECF">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04BB8E49">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特定迁移总量（以1,4</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丁二醇计）（限PBT材质）</w:t>
            </w:r>
          </w:p>
        </w:tc>
        <w:tc>
          <w:tcPr>
            <w:tcW w:w="1214" w:type="pct"/>
            <w:shd w:val="clear" w:color="auto" w:fill="FFFFFF"/>
            <w:vAlign w:val="center"/>
          </w:tcPr>
          <w:p w14:paraId="42BD9EC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7D9AD957">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31604.51—2021</w:t>
            </w:r>
          </w:p>
        </w:tc>
      </w:tr>
      <w:tr w14:paraId="6A5AAE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43DB9615">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68304587">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1,3</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丁二烯特定迁移量（限有丁二烯单体的聚合物）</w:t>
            </w:r>
          </w:p>
        </w:tc>
        <w:tc>
          <w:tcPr>
            <w:tcW w:w="1214" w:type="pct"/>
            <w:shd w:val="clear" w:color="auto" w:fill="FFFFFF"/>
            <w:vAlign w:val="center"/>
          </w:tcPr>
          <w:p w14:paraId="3BB4ABB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1E3CDB56">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31604.12—2016</w:t>
            </w:r>
          </w:p>
        </w:tc>
      </w:tr>
      <w:tr w14:paraId="5312A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364FA0B5">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098BCDFF">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邻苯类增塑剂特定迁移量（限PVC材质）</w:t>
            </w:r>
          </w:p>
        </w:tc>
        <w:tc>
          <w:tcPr>
            <w:tcW w:w="1214" w:type="pct"/>
            <w:shd w:val="clear" w:color="auto" w:fill="FFFFFF"/>
            <w:vAlign w:val="center"/>
          </w:tcPr>
          <w:p w14:paraId="3F8473B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p>
        </w:tc>
        <w:tc>
          <w:tcPr>
            <w:tcW w:w="1368" w:type="pct"/>
            <w:shd w:val="clear" w:color="auto" w:fill="FFFFFF"/>
            <w:vAlign w:val="center"/>
          </w:tcPr>
          <w:p w14:paraId="6BC46D8E">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31604.30—20</w:t>
            </w:r>
            <w:r>
              <w:rPr>
                <w:rFonts w:hint="default" w:ascii="Times New Roman" w:hAnsi="Times New Roman" w:cs="Times New Roman"/>
                <w:color w:val="000000" w:themeColor="text1"/>
                <w:highlight w:val="none"/>
                <w:lang w:val="en-US" w:eastAsia="zh-CN"/>
                <w14:textFill>
                  <w14:solidFill>
                    <w14:schemeClr w14:val="tx1"/>
                  </w14:solidFill>
                </w14:textFill>
              </w:rPr>
              <w:t>25</w:t>
            </w:r>
          </w:p>
        </w:tc>
      </w:tr>
      <w:tr w14:paraId="2BB8B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6DE767FC">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2359916F">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总迁移量</w:t>
            </w:r>
          </w:p>
        </w:tc>
        <w:tc>
          <w:tcPr>
            <w:tcW w:w="1214" w:type="pct"/>
            <w:shd w:val="clear" w:color="auto" w:fill="FFFFFF"/>
            <w:vAlign w:val="center"/>
          </w:tcPr>
          <w:p w14:paraId="60612D7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368" w:type="pct"/>
            <w:shd w:val="clear" w:color="auto" w:fill="FFFFFF"/>
            <w:vAlign w:val="center"/>
          </w:tcPr>
          <w:p w14:paraId="1A596AE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31604.8—2021</w:t>
            </w:r>
          </w:p>
        </w:tc>
      </w:tr>
      <w:tr w14:paraId="2E2E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68180107">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4EAB37DD">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高锰酸钾消耗量</w:t>
            </w:r>
          </w:p>
        </w:tc>
        <w:tc>
          <w:tcPr>
            <w:tcW w:w="1214" w:type="pct"/>
            <w:shd w:val="clear" w:color="auto" w:fill="FFFFFF"/>
            <w:vAlign w:val="center"/>
          </w:tcPr>
          <w:p w14:paraId="7CEDDB5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368" w:type="pct"/>
            <w:shd w:val="clear" w:color="auto" w:fill="FFFFFF"/>
            <w:vAlign w:val="center"/>
          </w:tcPr>
          <w:p w14:paraId="5EFF7CE8">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31604.2—2016</w:t>
            </w:r>
          </w:p>
        </w:tc>
      </w:tr>
      <w:tr w14:paraId="01E8C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1F7A204C">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3342DCB8">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重金属（以Pb计）</w:t>
            </w:r>
          </w:p>
        </w:tc>
        <w:tc>
          <w:tcPr>
            <w:tcW w:w="1214" w:type="pct"/>
            <w:shd w:val="clear" w:color="auto" w:fill="FFFFFF"/>
            <w:vAlign w:val="center"/>
          </w:tcPr>
          <w:p w14:paraId="11FA62A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368" w:type="pct"/>
            <w:shd w:val="clear" w:color="auto" w:fill="FFFFFF"/>
            <w:vAlign w:val="center"/>
          </w:tcPr>
          <w:p w14:paraId="539DAB05">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31604.9—2016</w:t>
            </w:r>
          </w:p>
        </w:tc>
      </w:tr>
      <w:tr w14:paraId="5464A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50732EC8">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7A533DB0">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芳香族伯胺迁移总量</w:t>
            </w:r>
          </w:p>
        </w:tc>
        <w:tc>
          <w:tcPr>
            <w:tcW w:w="1214" w:type="pct"/>
            <w:shd w:val="clear" w:color="auto" w:fill="FFFFFF"/>
            <w:vAlign w:val="center"/>
          </w:tcPr>
          <w:p w14:paraId="43045A5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368" w:type="pct"/>
            <w:shd w:val="clear" w:color="auto" w:fill="FFFFFF"/>
            <w:vAlign w:val="center"/>
          </w:tcPr>
          <w:p w14:paraId="2A909846">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31604.52—2021</w:t>
            </w:r>
          </w:p>
        </w:tc>
      </w:tr>
      <w:tr w14:paraId="677495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340" w:hRule="atLeast"/>
        </w:trPr>
        <w:tc>
          <w:tcPr>
            <w:tcW w:w="288" w:type="pct"/>
            <w:shd w:val="clear" w:color="auto" w:fill="FFFFFF"/>
            <w:vAlign w:val="center"/>
          </w:tcPr>
          <w:p w14:paraId="1954CAC2">
            <w:pPr>
              <w:keepNext w:val="0"/>
              <w:keepLines w:val="0"/>
              <w:pageBreakBefore w:val="0"/>
              <w:numPr>
                <w:ilvl w:val="0"/>
                <w:numId w:val="2"/>
              </w:numPr>
              <w:shd w:val="clear" w:color="auto" w:fill="FFFFFF"/>
              <w:kinsoku/>
              <w:wordWrap/>
              <w:overflowPunct/>
              <w:topLinePunct w:val="0"/>
              <w:autoSpaceDE/>
              <w:autoSpaceDN/>
              <w:bidi w:val="0"/>
              <w:adjustRightInd w:val="0"/>
              <w:snapToGrid w:val="0"/>
              <w:ind w:left="0" w:leftChars="0" w:firstLine="126" w:firstLineChars="60"/>
              <w:jc w:val="center"/>
              <w:rPr>
                <w:rFonts w:hint="default" w:ascii="Times New Roman" w:hAnsi="Times New Roman" w:cs="Times New Roman"/>
                <w:color w:val="000000" w:themeColor="text1"/>
                <w:highlight w:val="none"/>
                <w14:textFill>
                  <w14:solidFill>
                    <w14:schemeClr w14:val="tx1"/>
                  </w14:solidFill>
                </w14:textFill>
              </w:rPr>
            </w:pPr>
          </w:p>
        </w:tc>
        <w:tc>
          <w:tcPr>
            <w:tcW w:w="2127" w:type="pct"/>
            <w:shd w:val="clear" w:color="auto" w:fill="FFFFFF"/>
            <w:vAlign w:val="center"/>
          </w:tcPr>
          <w:p w14:paraId="1B475DDD">
            <w:pPr>
              <w:shd w:val="clear" w:color="auto" w:fill="FFFFFF"/>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N</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亚硝胺和N</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亚硝胺可生成物迁移总量</w:t>
            </w:r>
          </w:p>
        </w:tc>
        <w:tc>
          <w:tcPr>
            <w:tcW w:w="1214" w:type="pct"/>
            <w:shd w:val="clear" w:color="auto" w:fill="FFFFFF"/>
            <w:vAlign w:val="center"/>
          </w:tcPr>
          <w:p w14:paraId="35B55D6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 4806.11—2023 </w:t>
            </w:r>
          </w:p>
        </w:tc>
        <w:tc>
          <w:tcPr>
            <w:tcW w:w="1368" w:type="pct"/>
            <w:shd w:val="clear" w:color="auto" w:fill="FFFFFF"/>
            <w:vAlign w:val="center"/>
          </w:tcPr>
          <w:p w14:paraId="124A85C5">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w:t>
            </w: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2—202</w:t>
            </w:r>
            <w:r>
              <w:rPr>
                <w:rFonts w:hint="default" w:ascii="Times New Roman" w:hAnsi="Times New Roman" w:cs="Times New Roman"/>
                <w:color w:val="000000" w:themeColor="text1"/>
                <w:highlight w:val="none"/>
                <w:lang w:val="en-US" w:eastAsia="zh-CN"/>
                <w14:textFill>
                  <w14:solidFill>
                    <w14:schemeClr w14:val="tx1"/>
                  </w14:solidFill>
                </w14:textFill>
              </w:rPr>
              <w:t>5</w:t>
            </w:r>
          </w:p>
        </w:tc>
      </w:tr>
      <w:tr w14:paraId="05A5A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34380C7D">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455EF92E">
            <w:pPr>
              <w:shd w:val="clear" w:color="auto" w:fill="FFFFFF"/>
              <w:adjustRightInd w:val="0"/>
              <w:snapToGrid w:val="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总迁移量</w:t>
            </w:r>
          </w:p>
        </w:tc>
        <w:tc>
          <w:tcPr>
            <w:tcW w:w="1214" w:type="pct"/>
            <w:shd w:val="clear" w:color="auto" w:fill="FFFFFF"/>
            <w:vAlign w:val="center"/>
          </w:tcPr>
          <w:p w14:paraId="4DC19B0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w:t>
            </w:r>
          </w:p>
          <w:p w14:paraId="0A164CC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368" w:type="pct"/>
            <w:shd w:val="clear" w:color="auto" w:fill="FFFFFF"/>
            <w:vAlign w:val="center"/>
          </w:tcPr>
          <w:p w14:paraId="5F8B7D7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31604.8—2021</w:t>
            </w:r>
          </w:p>
        </w:tc>
      </w:tr>
      <w:tr w14:paraId="4BDDDA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7C3DDAFD">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07F5FE07">
            <w:pPr>
              <w:shd w:val="clear" w:color="auto" w:fill="FFFFFF"/>
              <w:adjustRightInd w:val="0"/>
              <w:snapToGrid w:val="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高锰酸钾消耗量</w:t>
            </w:r>
          </w:p>
        </w:tc>
        <w:tc>
          <w:tcPr>
            <w:tcW w:w="1214" w:type="pct"/>
            <w:shd w:val="clear" w:color="auto" w:fill="FFFFFF"/>
            <w:vAlign w:val="center"/>
          </w:tcPr>
          <w:p w14:paraId="4353A8C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w:t>
            </w:r>
          </w:p>
          <w:p w14:paraId="639C0B1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368" w:type="pct"/>
            <w:shd w:val="clear" w:color="auto" w:fill="FFFFFF"/>
            <w:vAlign w:val="center"/>
          </w:tcPr>
          <w:p w14:paraId="6ACE715B">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31604.2—2016</w:t>
            </w:r>
          </w:p>
        </w:tc>
      </w:tr>
      <w:tr w14:paraId="0BDD7A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48552AAD">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77CC0AD0">
            <w:pPr>
              <w:shd w:val="clear" w:color="auto" w:fill="FFFFFF"/>
              <w:adjustRightInd w:val="0"/>
              <w:snapToGrid w:val="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highlight w:val="none"/>
                <w:lang w:bidi="ar"/>
                <w14:textFill>
                  <w14:solidFill>
                    <w14:schemeClr w14:val="tx1"/>
                  </w14:solidFill>
                </w14:textFill>
              </w:rPr>
              <w:t>重金属（以Pb计）</w:t>
            </w:r>
          </w:p>
        </w:tc>
        <w:tc>
          <w:tcPr>
            <w:tcW w:w="1214" w:type="pct"/>
            <w:shd w:val="clear" w:color="auto" w:fill="FFFFFF"/>
            <w:vAlign w:val="center"/>
          </w:tcPr>
          <w:p w14:paraId="5CCB985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w:t>
            </w:r>
          </w:p>
          <w:p w14:paraId="6878ADF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368" w:type="pct"/>
            <w:shd w:val="clear" w:color="auto" w:fill="FFFFFF"/>
            <w:vAlign w:val="center"/>
          </w:tcPr>
          <w:p w14:paraId="17192F3F">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31604.9—2016</w:t>
            </w:r>
          </w:p>
        </w:tc>
      </w:tr>
      <w:tr w14:paraId="53A2DF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00A81D44">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1D08835A">
            <w:pPr>
              <w:shd w:val="clear" w:color="auto" w:fill="FFFFFF"/>
              <w:adjustRightInd w:val="0"/>
              <w:snapToGrid w:val="0"/>
              <w:jc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cs="Times New Roman"/>
                <w:color w:val="000000" w:themeColor="text1"/>
                <w:sz w:val="21"/>
                <w:szCs w:val="21"/>
                <w:highlight w:val="none"/>
                <w:lang w:eastAsia="zh-CN"/>
                <w14:textFill>
                  <w14:solidFill>
                    <w14:schemeClr w14:val="tx1"/>
                  </w14:solidFill>
                </w14:textFill>
              </w:rPr>
              <w:t>挥发性物质</w:t>
            </w:r>
          </w:p>
        </w:tc>
        <w:tc>
          <w:tcPr>
            <w:tcW w:w="1214" w:type="pct"/>
            <w:shd w:val="clear" w:color="auto" w:fill="FFFFFF"/>
            <w:vAlign w:val="center"/>
          </w:tcPr>
          <w:p w14:paraId="166DC9B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p>
        </w:tc>
        <w:tc>
          <w:tcPr>
            <w:tcW w:w="1368" w:type="pct"/>
            <w:shd w:val="clear" w:color="auto" w:fill="FFFFFF"/>
            <w:vAlign w:val="center"/>
          </w:tcPr>
          <w:p w14:paraId="1145C91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w:t>
            </w: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—202</w:t>
            </w:r>
            <w:r>
              <w:rPr>
                <w:rFonts w:hint="default" w:ascii="Times New Roman" w:hAnsi="Times New Roman" w:cs="Times New Roman"/>
                <w:color w:val="000000" w:themeColor="text1"/>
                <w:highlight w:val="none"/>
                <w:lang w:val="en-US" w:eastAsia="zh-CN"/>
                <w14:textFill>
                  <w14:solidFill>
                    <w14:schemeClr w14:val="tx1"/>
                  </w14:solidFill>
                </w14:textFill>
              </w:rPr>
              <w:t>5</w:t>
            </w:r>
          </w:p>
        </w:tc>
      </w:tr>
      <w:tr w14:paraId="61533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54D641FA">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18ECEACF">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对触及带电部件的防护</w:t>
            </w:r>
          </w:p>
        </w:tc>
        <w:tc>
          <w:tcPr>
            <w:tcW w:w="1214" w:type="pct"/>
            <w:shd w:val="clear" w:color="auto" w:fill="FFFFFF"/>
            <w:vAlign w:val="center"/>
          </w:tcPr>
          <w:p w14:paraId="66923AF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6D254C9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0437554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07C8229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1465243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208B4A5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78C1160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638321C0">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75E007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0EB4AB3D">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2C8ADEC8">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输入功率和电流</w:t>
            </w:r>
          </w:p>
        </w:tc>
        <w:tc>
          <w:tcPr>
            <w:tcW w:w="1214" w:type="pct"/>
            <w:shd w:val="clear" w:color="auto" w:fill="FFFFFF"/>
            <w:vAlign w:val="center"/>
          </w:tcPr>
          <w:p w14:paraId="4B2E69A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4AC6D20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03088B9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72975E8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5A5BDBE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1DC2747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2F0BB06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1752FDF3">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4BB54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3930B3BE">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2A4460F3">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工作温度下的泄漏电流和电气强度</w:t>
            </w:r>
          </w:p>
        </w:tc>
        <w:tc>
          <w:tcPr>
            <w:tcW w:w="1214" w:type="pct"/>
            <w:shd w:val="clear" w:color="auto" w:fill="FFFFFF"/>
            <w:vAlign w:val="center"/>
          </w:tcPr>
          <w:p w14:paraId="1320A63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7A0DB8E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3538355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07E1955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06F7DF9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03E76D6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2C6378D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71DF403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30921E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417675B9">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0426A772">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泄漏电流和电气强度</w:t>
            </w:r>
          </w:p>
        </w:tc>
        <w:tc>
          <w:tcPr>
            <w:tcW w:w="1214" w:type="pct"/>
            <w:shd w:val="clear" w:color="auto" w:fill="FFFFFF"/>
            <w:vAlign w:val="center"/>
          </w:tcPr>
          <w:p w14:paraId="1B199C0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36F9954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56390AD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0D370B9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6F36274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354BC94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3EFFD2E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39BF6551">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32B86A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5D1F00B0">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1751FCD7">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非正常工作</w:t>
            </w:r>
          </w:p>
        </w:tc>
        <w:tc>
          <w:tcPr>
            <w:tcW w:w="1214" w:type="pct"/>
            <w:shd w:val="clear" w:color="auto" w:fill="FFFFFF"/>
            <w:vAlign w:val="center"/>
          </w:tcPr>
          <w:p w14:paraId="4AA00BA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73528D3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4993FB0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1DAE909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1EAFBBE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2E26C7C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1795012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17E2DAEA">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77139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0CE89497">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7CDE3C11">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稳定性和机械危险</w:t>
            </w:r>
          </w:p>
        </w:tc>
        <w:tc>
          <w:tcPr>
            <w:tcW w:w="1214" w:type="pct"/>
            <w:shd w:val="clear" w:color="auto" w:fill="FFFFFF"/>
            <w:vAlign w:val="center"/>
          </w:tcPr>
          <w:p w14:paraId="283DB68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616176E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14FC427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5ABB9BC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5E6A151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46CB3FA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13795B7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53A61F84">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6C9A9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57F45964">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5146F2AB">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机械强度</w:t>
            </w:r>
          </w:p>
        </w:tc>
        <w:tc>
          <w:tcPr>
            <w:tcW w:w="1214" w:type="pct"/>
            <w:shd w:val="clear" w:color="auto" w:fill="FFFFFF"/>
            <w:vAlign w:val="center"/>
          </w:tcPr>
          <w:p w14:paraId="4E10DF1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2E8AE38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07C14C5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24A3777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7959341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1221063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3336248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115784C0">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5CB8C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47C5E139">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4F223983">
            <w:pPr>
              <w:pStyle w:val="7"/>
              <w:adjustRightInd w:val="0"/>
              <w:snapToGrid w:val="0"/>
              <w:spacing w:line="240" w:lineRule="auto"/>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结构</w:t>
            </w:r>
          </w:p>
        </w:tc>
        <w:tc>
          <w:tcPr>
            <w:tcW w:w="1214" w:type="pct"/>
            <w:shd w:val="clear" w:color="auto" w:fill="FFFFFF"/>
            <w:vAlign w:val="center"/>
          </w:tcPr>
          <w:p w14:paraId="6EA6254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67BDD76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6D3271F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7656957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115BC71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006B6D7E">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61FA95D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3A77AD45">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74311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6DBC3F87">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604BA111">
            <w:pPr>
              <w:pStyle w:val="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内部布线</w:t>
            </w:r>
          </w:p>
        </w:tc>
        <w:tc>
          <w:tcPr>
            <w:tcW w:w="1214" w:type="pct"/>
            <w:shd w:val="clear" w:color="auto" w:fill="FFFFFF"/>
            <w:vAlign w:val="center"/>
          </w:tcPr>
          <w:p w14:paraId="2BDADF4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11B5935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3D4A95C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798942B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6C167EB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39345EF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1D158D1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1FF3595B">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11416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50D2768C">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6D5AF3BC">
            <w:pPr>
              <w:pStyle w:val="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电源连接和外部软线</w:t>
            </w:r>
          </w:p>
        </w:tc>
        <w:tc>
          <w:tcPr>
            <w:tcW w:w="1214" w:type="pct"/>
            <w:shd w:val="clear" w:color="auto" w:fill="FFFFFF"/>
            <w:vAlign w:val="center"/>
          </w:tcPr>
          <w:p w14:paraId="4068FC1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781CE7BA">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357EF4A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6C5BEBF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607DBA9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51F133B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4B22D2A1">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6979C2AB">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339BA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2B15D2ED">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0CFA06B6">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外部导线用接线端子</w:t>
            </w:r>
          </w:p>
          <w:p w14:paraId="16A56191">
            <w:pPr>
              <w:pStyle w:val="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highlight w:val="none"/>
                <w:lang w:val="en-US" w:eastAsia="zh-CN"/>
                <w14:textFill>
                  <w14:solidFill>
                    <w14:schemeClr w14:val="tx1"/>
                  </w14:solidFill>
                </w14:textFill>
              </w:rPr>
              <w:t>/</w:t>
            </w:r>
            <w:r>
              <w:rPr>
                <w:rFonts w:hint="default" w:ascii="Times New Roman" w:hAnsi="Times New Roman" w:eastAsia="宋体" w:cs="Times New Roman"/>
                <w:color w:val="000000" w:themeColor="text1"/>
                <w:sz w:val="21"/>
                <w:szCs w:val="21"/>
                <w:highlight w:val="none"/>
                <w14:textFill>
                  <w14:solidFill>
                    <w14:schemeClr w14:val="tx1"/>
                  </w14:solidFill>
                </w14:textFill>
              </w:rPr>
              <w:t>外部导体用接线端子</w:t>
            </w:r>
          </w:p>
        </w:tc>
        <w:tc>
          <w:tcPr>
            <w:tcW w:w="1214" w:type="pct"/>
            <w:shd w:val="clear" w:color="auto" w:fill="FFFFFF"/>
            <w:vAlign w:val="center"/>
          </w:tcPr>
          <w:p w14:paraId="0B150B2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6C0899E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363276F5">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07F0E81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015281E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6336A68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27E6602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588545D2">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6DF84B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0DB915B5">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67764A13">
            <w:pPr>
              <w:pStyle w:val="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接地措施</w:t>
            </w:r>
          </w:p>
        </w:tc>
        <w:tc>
          <w:tcPr>
            <w:tcW w:w="1214" w:type="pct"/>
            <w:shd w:val="clear" w:color="auto" w:fill="FFFFFF"/>
            <w:vAlign w:val="center"/>
          </w:tcPr>
          <w:p w14:paraId="1348326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08714E34">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11CFB59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0D311E3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2AD5A47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1D50E9B2">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2E44E3F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3B366EB7">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55168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 w:hRule="atLeast"/>
        </w:trPr>
        <w:tc>
          <w:tcPr>
            <w:tcW w:w="288" w:type="pct"/>
            <w:vAlign w:val="center"/>
          </w:tcPr>
          <w:p w14:paraId="43DEB33F">
            <w:pPr>
              <w:pStyle w:val="7"/>
              <w:keepNext w:val="0"/>
              <w:keepLines w:val="0"/>
              <w:pageBreakBefore w:val="0"/>
              <w:numPr>
                <w:ilvl w:val="0"/>
                <w:numId w:val="2"/>
              </w:numPr>
              <w:kinsoku/>
              <w:wordWrap/>
              <w:overflowPunct/>
              <w:topLinePunct w:val="0"/>
              <w:autoSpaceDE/>
              <w:autoSpaceDN/>
              <w:bidi w:val="0"/>
              <w:adjustRightInd w:val="0"/>
              <w:snapToGrid w:val="0"/>
              <w:spacing w:line="240" w:lineRule="auto"/>
              <w:ind w:left="0" w:leftChars="0" w:firstLine="126" w:firstLineChars="6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p>
        </w:tc>
        <w:tc>
          <w:tcPr>
            <w:tcW w:w="2127" w:type="pct"/>
            <w:vAlign w:val="center"/>
          </w:tcPr>
          <w:p w14:paraId="0BC9ED97">
            <w:pPr>
              <w:pStyle w:val="7"/>
              <w:adjustRightInd w:val="0"/>
              <w:snapToGrid w:val="0"/>
              <w:spacing w:line="340" w:lineRule="exact"/>
              <w:ind w:firstLine="0" w:firstLineChars="0"/>
              <w:jc w:val="center"/>
              <w:textAlignment w:val="center"/>
              <w:rPr>
                <w:rFonts w:hint="default" w:ascii="Times New Roman" w:hAnsi="Times New Roman" w:eastAsia="宋体" w:cs="Times New Roman"/>
                <w:color w:val="000000" w:themeColor="text1"/>
                <w:sz w:val="21"/>
                <w:szCs w:val="21"/>
                <w:highlight w:val="none"/>
                <w14:textFill>
                  <w14:solidFill>
                    <w14:schemeClr w14:val="tx1"/>
                  </w14:solidFill>
                </w14:textFill>
              </w:rPr>
            </w:pPr>
            <w:r>
              <w:rPr>
                <w:rFonts w:hint="default" w:ascii="Times New Roman" w:hAnsi="Times New Roman" w:eastAsia="宋体" w:cs="Times New Roman"/>
                <w:color w:val="000000" w:themeColor="text1"/>
                <w:sz w:val="21"/>
                <w:szCs w:val="21"/>
                <w:highlight w:val="none"/>
                <w14:textFill>
                  <w14:solidFill>
                    <w14:schemeClr w14:val="tx1"/>
                  </w14:solidFill>
                </w14:textFill>
              </w:rPr>
              <w:t>螺钉和连接</w:t>
            </w:r>
          </w:p>
        </w:tc>
        <w:tc>
          <w:tcPr>
            <w:tcW w:w="1214" w:type="pct"/>
            <w:shd w:val="clear" w:color="auto" w:fill="FFFFFF"/>
            <w:vAlign w:val="center"/>
          </w:tcPr>
          <w:p w14:paraId="08F55E7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08671F6D">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1EBA1C0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4706.1—2024</w:t>
            </w:r>
          </w:p>
          <w:p w14:paraId="3A69CC5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4706.38—2024</w:t>
            </w:r>
          </w:p>
        </w:tc>
        <w:tc>
          <w:tcPr>
            <w:tcW w:w="1368" w:type="pct"/>
            <w:shd w:val="clear" w:color="auto" w:fill="FFFFFF"/>
            <w:vAlign w:val="center"/>
          </w:tcPr>
          <w:p w14:paraId="116E37D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4706.1—2005</w:t>
            </w:r>
          </w:p>
          <w:p w14:paraId="7B46E6F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4706.38—2008</w:t>
            </w:r>
          </w:p>
          <w:p w14:paraId="0120D32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4706.1</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p w14:paraId="13F2E2C0">
            <w:pPr>
              <w:adjustRightInd w:val="0"/>
              <w:snapToGrid w:val="0"/>
              <w:jc w:val="center"/>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 4706.38</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2024</w:t>
            </w:r>
          </w:p>
        </w:tc>
      </w:tr>
      <w:tr w14:paraId="04781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4"/>
          </w:tcPr>
          <w:p w14:paraId="79B145E7">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注：</w:t>
            </w:r>
          </w:p>
          <w:p w14:paraId="67957709">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1.本表的第1</w:t>
            </w:r>
            <w:r>
              <w:rPr>
                <w:rFonts w:hint="eastAsia"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1</w:t>
            </w:r>
            <w:r>
              <w:rPr>
                <w:rFonts w:hint="eastAsia"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项适用于金属材质；</w:t>
            </w:r>
          </w:p>
          <w:p w14:paraId="477D8D4E">
            <w:pPr>
              <w:tabs>
                <w:tab w:val="left" w:pos="312"/>
              </w:tabs>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2.本表的第1</w:t>
            </w:r>
            <w:r>
              <w:rPr>
                <w:rFonts w:hint="eastAsia" w:ascii="Times New Roman" w:hAnsi="Times New Roman" w:cs="Times New Roman"/>
                <w:color w:val="000000" w:themeColor="text1"/>
                <w:highlight w:val="none"/>
                <w:lang w:val="en-US" w:eastAsia="zh-CN"/>
                <w14:textFill>
                  <w14:solidFill>
                    <w14:schemeClr w14:val="tx1"/>
                  </w14:solidFill>
                </w14:textFill>
              </w:rPr>
              <w:t>5</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2</w:t>
            </w:r>
            <w:r>
              <w:rPr>
                <w:rFonts w:hint="eastAsia"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14:textFill>
                  <w14:solidFill>
                    <w14:schemeClr w14:val="tx1"/>
                  </w14:solidFill>
                </w14:textFill>
              </w:rPr>
              <w:t>项适用于塑料材质；</w:t>
            </w:r>
          </w:p>
          <w:p w14:paraId="17781BF7">
            <w:pPr>
              <w:tabs>
                <w:tab w:val="left" w:pos="312"/>
              </w:tabs>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3.本表的第</w:t>
            </w:r>
            <w:r>
              <w:rPr>
                <w:rFonts w:hint="eastAsia" w:ascii="Times New Roman" w:hAnsi="Times New Roman" w:cs="Times New Roman"/>
                <w:color w:val="000000" w:themeColor="text1"/>
                <w:highlight w:val="none"/>
                <w:lang w:val="en-US" w:eastAsia="zh-CN"/>
                <w14:textFill>
                  <w14:solidFill>
                    <w14:schemeClr w14:val="tx1"/>
                  </w14:solidFill>
                </w14:textFill>
              </w:rPr>
              <w:t>30</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项适用于橡胶材质；</w:t>
            </w:r>
          </w:p>
          <w:p w14:paraId="3075B70C">
            <w:pPr>
              <w:tabs>
                <w:tab w:val="left" w:pos="312"/>
              </w:tabs>
              <w:adjustRightInd w:val="0"/>
              <w:snapToGrid w:val="0"/>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5</w:t>
            </w:r>
            <w:r>
              <w:rPr>
                <w:rFonts w:hint="default" w:ascii="Times New Roman" w:hAnsi="Times New Roman" w:cs="Times New Roman"/>
                <w:color w:val="000000" w:themeColor="text1"/>
                <w:highlight w:val="none"/>
                <w:lang w:eastAsia="zh-CN"/>
                <w14:textFill>
                  <w14:solidFill>
                    <w14:schemeClr w14:val="tx1"/>
                  </w14:solidFill>
                </w14:textFill>
              </w:rPr>
              <w:t>-</w:t>
            </w:r>
            <w:r>
              <w:rPr>
                <w:rFonts w:hint="default" w:ascii="Times New Roman" w:hAnsi="Times New Roman" w:cs="Times New Roman"/>
                <w:color w:val="000000" w:themeColor="text1"/>
                <w:highlight w:val="none"/>
                <w:lang w:val="en-US"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8</w:t>
            </w:r>
            <w:r>
              <w:rPr>
                <w:rFonts w:hint="default" w:ascii="Times New Roman" w:hAnsi="Times New Roman" w:cs="Times New Roman"/>
                <w:color w:val="000000" w:themeColor="text1"/>
                <w:highlight w:val="none"/>
                <w14:textFill>
                  <w14:solidFill>
                    <w14:schemeClr w14:val="tx1"/>
                  </w14:solidFill>
                </w14:textFill>
              </w:rPr>
              <w:t>项适用于</w:t>
            </w:r>
            <w:r>
              <w:rPr>
                <w:rFonts w:hint="default" w:ascii="Times New Roman" w:hAnsi="Times New Roman" w:cs="Times New Roman"/>
                <w:color w:val="000000" w:themeColor="text1"/>
                <w:highlight w:val="none"/>
                <w:lang w:val="en-US" w:eastAsia="zh-CN"/>
                <w14:textFill>
                  <w14:solidFill>
                    <w14:schemeClr w14:val="tx1"/>
                  </w14:solidFill>
                </w14:textFill>
              </w:rPr>
              <w:t>硅橡胶材质；</w:t>
            </w:r>
          </w:p>
          <w:p w14:paraId="6481ABDF">
            <w:pPr>
              <w:tabs>
                <w:tab w:val="left" w:pos="312"/>
              </w:tabs>
              <w:adjustRightInd w:val="0"/>
              <w:snapToGrid w:val="0"/>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5.本表的第1</w:t>
            </w:r>
            <w:r>
              <w:rPr>
                <w:rFonts w:hint="eastAsia"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lang w:val="en-US" w:eastAsia="zh-CN"/>
                <w14:textFill>
                  <w14:solidFill>
                    <w14:schemeClr w14:val="tx1"/>
                  </w14:solidFill>
                </w14:textFill>
              </w:rPr>
              <w:t>项仅适用于含有芳香族异氰酸酯和偶氮类着色剂等可能产生芳香族伯胺类物质的塑料材质；</w:t>
            </w:r>
          </w:p>
          <w:p w14:paraId="28ECCEA1">
            <w:pPr>
              <w:shd w:val="clear" w:color="auto" w:fill="FFFFFF"/>
              <w:adjustRightInd w:val="0"/>
              <w:snapToGrid w:val="0"/>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项仅适用于含有胺类防老剂、次磺酰胺类硫化促进剂、偶氮类着色剂等可能产生芳香族伯胺的橡胶</w:t>
            </w:r>
            <w:r>
              <w:rPr>
                <w:rFonts w:hint="default" w:ascii="Times New Roman" w:hAnsi="Times New Roman" w:cs="Times New Roman"/>
                <w:color w:val="000000" w:themeColor="text1"/>
                <w:highlight w:val="none"/>
                <w:lang w:val="en-US" w:eastAsia="zh-CN"/>
                <w14:textFill>
                  <w14:solidFill>
                    <w14:schemeClr w14:val="tx1"/>
                  </w14:solidFill>
                </w14:textFill>
              </w:rPr>
              <w:t>材质</w:t>
            </w:r>
            <w:r>
              <w:rPr>
                <w:rFonts w:hint="default" w:ascii="Times New Roman" w:hAnsi="Times New Roman" w:cs="Times New Roman"/>
                <w:color w:val="000000" w:themeColor="text1"/>
                <w:highlight w:val="none"/>
                <w14:textFill>
                  <w14:solidFill>
                    <w14:schemeClr w14:val="tx1"/>
                  </w14:solidFill>
                </w14:textFill>
              </w:rPr>
              <w:t>；</w:t>
            </w:r>
          </w:p>
          <w:p w14:paraId="4E566456">
            <w:pPr>
              <w:tabs>
                <w:tab w:val="left" w:pos="312"/>
              </w:tabs>
              <w:adjustRightInd w:val="0"/>
              <w:snapToGrid w:val="0"/>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7</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eastAsia="zh-CN"/>
                <w14:textFill>
                  <w14:solidFill>
                    <w14:schemeClr w14:val="tx1"/>
                  </w14:solidFill>
                </w14:textFill>
              </w:rPr>
              <w:t>3</w:t>
            </w:r>
            <w:r>
              <w:rPr>
                <w:rFonts w:hint="eastAsia" w:ascii="Times New Roman" w:hAnsi="Times New Roman" w:cs="Times New Roman"/>
                <w:color w:val="000000" w:themeColor="text1"/>
                <w:highlight w:val="none"/>
                <w:lang w:val="en-US" w:eastAsia="zh-CN"/>
                <w14:textFill>
                  <w14:solidFill>
                    <w14:schemeClr w14:val="tx1"/>
                  </w14:solidFill>
                </w14:textFill>
              </w:rPr>
              <w:t>4</w:t>
            </w:r>
            <w:r>
              <w:rPr>
                <w:rFonts w:hint="default" w:ascii="Times New Roman" w:hAnsi="Times New Roman" w:cs="Times New Roman"/>
                <w:color w:val="000000" w:themeColor="text1"/>
                <w:highlight w:val="none"/>
                <w14:textFill>
                  <w14:solidFill>
                    <w14:schemeClr w14:val="tx1"/>
                  </w14:solidFill>
                </w14:textFill>
              </w:rPr>
              <w:t>项仅适用于含有硫化促进剂等可能产生N</w:t>
            </w:r>
            <w:r>
              <w:rPr>
                <w:rFonts w:hint="default"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亚硝胺和N</w:t>
            </w:r>
            <w:r>
              <w:rPr>
                <w:rFonts w:hint="default" w:ascii="Times New Roman" w:hAnsi="Times New Roman" w:cs="Times New Roman"/>
                <w:color w:val="000000" w:themeColor="text1"/>
                <w:highlight w:val="none"/>
                <w:lang w:val="en-US" w:eastAsia="zh-CN"/>
                <w14:textFill>
                  <w14:solidFill>
                    <w14:schemeClr w14:val="tx1"/>
                  </w14:solidFill>
                </w14:textFill>
              </w:rPr>
              <w:t>-</w:t>
            </w:r>
            <w:r>
              <w:rPr>
                <w:rFonts w:hint="default" w:ascii="Times New Roman" w:hAnsi="Times New Roman" w:cs="Times New Roman"/>
                <w:color w:val="000000" w:themeColor="text1"/>
                <w:highlight w:val="none"/>
                <w14:textFill>
                  <w14:solidFill>
                    <w14:schemeClr w14:val="tx1"/>
                  </w14:solidFill>
                </w14:textFill>
              </w:rPr>
              <w:t>亚硝胺可生成物的橡胶</w:t>
            </w:r>
            <w:r>
              <w:rPr>
                <w:rFonts w:hint="default" w:ascii="Times New Roman" w:hAnsi="Times New Roman" w:cs="Times New Roman"/>
                <w:color w:val="000000" w:themeColor="text1"/>
                <w:highlight w:val="none"/>
                <w:lang w:val="en-US" w:eastAsia="zh-CN"/>
                <w14:textFill>
                  <w14:solidFill>
                    <w14:schemeClr w14:val="tx1"/>
                  </w14:solidFill>
                </w14:textFill>
              </w:rPr>
              <w:t>材质</w:t>
            </w:r>
            <w:r>
              <w:rPr>
                <w:rFonts w:hint="default" w:ascii="Times New Roman" w:hAnsi="Times New Roman" w:cs="Times New Roman"/>
                <w:color w:val="000000" w:themeColor="text1"/>
                <w:highlight w:val="none"/>
                <w14:textFill>
                  <w14:solidFill>
                    <w14:schemeClr w14:val="tx1"/>
                  </w14:solidFill>
                </w14:textFill>
              </w:rPr>
              <w:t>。</w:t>
            </w:r>
          </w:p>
          <w:p w14:paraId="3E9E6CBA">
            <w:pP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8</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val="en-US" w:eastAsia="zh-CN"/>
                <w14:textFill>
                  <w14:solidFill>
                    <w14:schemeClr w14:val="tx1"/>
                  </w14:solidFill>
                </w14:textFill>
              </w:rPr>
              <w:t>4</w:t>
            </w:r>
            <w:r>
              <w:rPr>
                <w:rFonts w:hint="eastAsia" w:ascii="Times New Roman" w:hAnsi="Times New Roman" w:cs="Times New Roman"/>
                <w:color w:val="000000" w:themeColor="text1"/>
                <w:highlight w:val="none"/>
                <w:lang w:val="en-US" w:eastAsia="zh-CN"/>
                <w14:textFill>
                  <w14:solidFill>
                    <w14:schemeClr w14:val="tx1"/>
                  </w14:solidFill>
                </w14:textFill>
              </w:rPr>
              <w:t>3</w:t>
            </w:r>
            <w:r>
              <w:rPr>
                <w:rFonts w:hint="default" w:ascii="Times New Roman" w:hAnsi="Times New Roman" w:cs="Times New Roman"/>
                <w:color w:val="000000" w:themeColor="text1"/>
                <w:highlight w:val="none"/>
                <w14:textFill>
                  <w14:solidFill>
                    <w14:schemeClr w14:val="tx1"/>
                  </w14:solidFill>
                </w14:textFill>
              </w:rPr>
              <w:t>项不测GB 4706.1第19.11.4条试验；</w:t>
            </w:r>
          </w:p>
          <w:p w14:paraId="4C8647D6">
            <w:pPr>
              <w:adjustRightInd w:val="0"/>
              <w:snapToGrid w:val="0"/>
              <w:spacing w:line="340" w:lineRule="exact"/>
              <w:jc w:val="left"/>
              <w:rPr>
                <w:rFonts w:hint="default" w:ascii="Times New Roman" w:hAnsi="Times New Roman"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lang w:val="en-US" w:eastAsia="zh-CN"/>
                <w14:textFill>
                  <w14:solidFill>
                    <w14:schemeClr w14:val="tx1"/>
                  </w14:solidFill>
                </w14:textFill>
              </w:rPr>
              <w:t>9</w:t>
            </w:r>
            <w:r>
              <w:rPr>
                <w:rFonts w:hint="default" w:ascii="Times New Roman" w:hAnsi="Times New Roman" w:cs="Times New Roman"/>
                <w:color w:val="000000" w:themeColor="text1"/>
                <w:highlight w:val="none"/>
                <w14:textFill>
                  <w14:solidFill>
                    <w14:schemeClr w14:val="tx1"/>
                  </w14:solidFill>
                </w14:textFill>
              </w:rPr>
              <w:t>.本表的第</w:t>
            </w:r>
            <w:r>
              <w:rPr>
                <w:rFonts w:hint="default" w:ascii="Times New Roman" w:hAnsi="Times New Roman" w:cs="Times New Roman"/>
                <w:color w:val="000000" w:themeColor="text1"/>
                <w:highlight w:val="none"/>
                <w:lang w:val="en-US" w:eastAsia="zh-CN"/>
                <w14:textFill>
                  <w14:solidFill>
                    <w14:schemeClr w14:val="tx1"/>
                  </w14:solidFill>
                </w14:textFill>
              </w:rPr>
              <w:t>4</w:t>
            </w:r>
            <w:r>
              <w:rPr>
                <w:rFonts w:hint="eastAsia" w:ascii="Times New Roman" w:hAnsi="Times New Roman" w:cs="Times New Roman"/>
                <w:color w:val="000000" w:themeColor="text1"/>
                <w:highlight w:val="none"/>
                <w:lang w:val="en-US" w:eastAsia="zh-CN"/>
                <w14:textFill>
                  <w14:solidFill>
                    <w14:schemeClr w14:val="tx1"/>
                  </w14:solidFill>
                </w14:textFill>
              </w:rPr>
              <w:t>6</w:t>
            </w:r>
            <w:r>
              <w:rPr>
                <w:rFonts w:hint="default" w:ascii="Times New Roman" w:hAnsi="Times New Roman" w:cs="Times New Roman"/>
                <w:color w:val="000000" w:themeColor="text1"/>
                <w:highlight w:val="none"/>
                <w14:textFill>
                  <w14:solidFill>
                    <w14:schemeClr w14:val="tx1"/>
                  </w14:solidFill>
                </w14:textFill>
              </w:rPr>
              <w:t>项不测GB 4706.1第22.46条试验</w:t>
            </w:r>
            <w:r>
              <w:rPr>
                <w:rFonts w:hint="default" w:ascii="Times New Roman" w:hAnsi="Times New Roman" w:cs="Times New Roman"/>
                <w:color w:val="000000" w:themeColor="text1"/>
                <w:highlight w:val="none"/>
                <w:lang w:val="en-US" w:eastAsia="zh-CN"/>
                <w14:textFill>
                  <w14:solidFill>
                    <w14:schemeClr w14:val="tx1"/>
                  </w14:solidFill>
                </w14:textFill>
              </w:rPr>
              <w:t>。</w:t>
            </w:r>
          </w:p>
        </w:tc>
      </w:tr>
    </w:tbl>
    <w:p w14:paraId="42685ED8">
      <w:pPr>
        <w:snapToGrid w:val="0"/>
        <w:spacing w:line="240" w:lineRule="auto"/>
        <w:rPr>
          <w:rFonts w:hint="eastAsia"/>
          <w:szCs w:val="21"/>
        </w:rPr>
      </w:pPr>
    </w:p>
    <w:p w14:paraId="00F60810">
      <w:pPr>
        <w:snapToGrid w:val="0"/>
        <w:spacing w:line="440" w:lineRule="exact"/>
        <w:rPr>
          <w:szCs w:val="21"/>
        </w:rPr>
      </w:pPr>
      <w:r>
        <w:rPr>
          <w:rFonts w:hint="eastAsia"/>
          <w:szCs w:val="21"/>
        </w:rPr>
        <w:t>2.3其它项目（标签标识）</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0"/>
        <w:gridCol w:w="1106"/>
        <w:gridCol w:w="3498"/>
        <w:gridCol w:w="1907"/>
        <w:gridCol w:w="1850"/>
      </w:tblGrid>
      <w:tr w14:paraId="41E5D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blHeader/>
          <w:jc w:val="center"/>
        </w:trPr>
        <w:tc>
          <w:tcPr>
            <w:tcW w:w="700" w:type="dxa"/>
            <w:noWrap w:val="0"/>
            <w:vAlign w:val="center"/>
          </w:tcPr>
          <w:p w14:paraId="26AB3CD8">
            <w:pPr>
              <w:widowControl/>
              <w:snapToGrid w:val="0"/>
              <w:jc w:val="center"/>
              <w:rPr>
                <w:szCs w:val="21"/>
              </w:rPr>
            </w:pPr>
            <w:r>
              <w:rPr>
                <w:szCs w:val="21"/>
              </w:rPr>
              <w:t>序号</w:t>
            </w:r>
          </w:p>
        </w:tc>
        <w:tc>
          <w:tcPr>
            <w:tcW w:w="4604" w:type="dxa"/>
            <w:gridSpan w:val="2"/>
            <w:noWrap w:val="0"/>
            <w:vAlign w:val="center"/>
          </w:tcPr>
          <w:p w14:paraId="2FBD0E92">
            <w:pPr>
              <w:widowControl/>
              <w:snapToGrid w:val="0"/>
              <w:jc w:val="center"/>
              <w:rPr>
                <w:szCs w:val="21"/>
              </w:rPr>
            </w:pPr>
            <w:r>
              <w:rPr>
                <w:szCs w:val="21"/>
              </w:rPr>
              <w:t>检验项目</w:t>
            </w:r>
          </w:p>
        </w:tc>
        <w:tc>
          <w:tcPr>
            <w:tcW w:w="1907" w:type="dxa"/>
            <w:noWrap w:val="0"/>
            <w:vAlign w:val="center"/>
          </w:tcPr>
          <w:p w14:paraId="64D5060D">
            <w:pPr>
              <w:widowControl/>
              <w:snapToGrid w:val="0"/>
              <w:contextualSpacing/>
              <w:jc w:val="center"/>
              <w:rPr>
                <w:szCs w:val="21"/>
              </w:rPr>
            </w:pPr>
            <w:r>
              <w:t>检验依据</w:t>
            </w:r>
          </w:p>
        </w:tc>
        <w:tc>
          <w:tcPr>
            <w:tcW w:w="1850" w:type="dxa"/>
            <w:noWrap w:val="0"/>
            <w:vAlign w:val="center"/>
          </w:tcPr>
          <w:p w14:paraId="13BB59EB">
            <w:pPr>
              <w:widowControl/>
              <w:snapToGrid w:val="0"/>
              <w:contextualSpacing/>
              <w:jc w:val="center"/>
              <w:rPr>
                <w:szCs w:val="21"/>
              </w:rPr>
            </w:pPr>
            <w:r>
              <w:rPr>
                <w:szCs w:val="21"/>
              </w:rPr>
              <w:t>检验方法</w:t>
            </w:r>
          </w:p>
        </w:tc>
      </w:tr>
      <w:tr w14:paraId="002C7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vMerge w:val="restart"/>
            <w:noWrap w:val="0"/>
            <w:vAlign w:val="center"/>
          </w:tcPr>
          <w:p w14:paraId="5B131B42">
            <w:pPr>
              <w:snapToGrid w:val="0"/>
              <w:jc w:val="center"/>
              <w:rPr>
                <w:szCs w:val="21"/>
              </w:rPr>
            </w:pPr>
            <w:r>
              <w:rPr>
                <w:szCs w:val="21"/>
              </w:rPr>
              <w:t>1</w:t>
            </w:r>
          </w:p>
        </w:tc>
        <w:tc>
          <w:tcPr>
            <w:tcW w:w="1106" w:type="dxa"/>
            <w:vMerge w:val="restart"/>
            <w:noWrap w:val="0"/>
            <w:vAlign w:val="center"/>
          </w:tcPr>
          <w:p w14:paraId="3637BA06">
            <w:pPr>
              <w:widowControl/>
              <w:snapToGrid w:val="0"/>
              <w:jc w:val="center"/>
              <w:rPr>
                <w:szCs w:val="21"/>
              </w:rPr>
            </w:pPr>
            <w:r>
              <w:rPr>
                <w:szCs w:val="21"/>
              </w:rPr>
              <w:t>标识内容</w:t>
            </w:r>
          </w:p>
        </w:tc>
        <w:tc>
          <w:tcPr>
            <w:tcW w:w="3498" w:type="dxa"/>
            <w:noWrap w:val="0"/>
            <w:vAlign w:val="center"/>
          </w:tcPr>
          <w:p w14:paraId="1ECFCC6B">
            <w:pPr>
              <w:widowControl/>
              <w:snapToGrid w:val="0"/>
              <w:jc w:val="center"/>
              <w:rPr>
                <w:szCs w:val="21"/>
              </w:rPr>
            </w:pPr>
            <w:r>
              <w:rPr>
                <w:szCs w:val="21"/>
              </w:rPr>
              <w:t>产品名称</w:t>
            </w:r>
          </w:p>
        </w:tc>
        <w:tc>
          <w:tcPr>
            <w:tcW w:w="1907" w:type="dxa"/>
            <w:noWrap w:val="0"/>
            <w:vAlign w:val="center"/>
          </w:tcPr>
          <w:p w14:paraId="6A056DB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tc>
        <w:tc>
          <w:tcPr>
            <w:tcW w:w="1850" w:type="dxa"/>
            <w:noWrap w:val="0"/>
            <w:vAlign w:val="center"/>
          </w:tcPr>
          <w:p w14:paraId="572DF25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tc>
      </w:tr>
      <w:tr w14:paraId="0D4E0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700" w:type="dxa"/>
            <w:vMerge w:val="continue"/>
            <w:noWrap w:val="0"/>
            <w:vAlign w:val="center"/>
          </w:tcPr>
          <w:p w14:paraId="315D61A0">
            <w:pPr>
              <w:snapToGrid w:val="0"/>
              <w:jc w:val="center"/>
              <w:rPr>
                <w:szCs w:val="21"/>
              </w:rPr>
            </w:pPr>
          </w:p>
        </w:tc>
        <w:tc>
          <w:tcPr>
            <w:tcW w:w="1106" w:type="dxa"/>
            <w:vMerge w:val="continue"/>
            <w:noWrap w:val="0"/>
            <w:vAlign w:val="center"/>
          </w:tcPr>
          <w:p w14:paraId="6AD36654">
            <w:pPr>
              <w:widowControl/>
              <w:snapToGrid w:val="0"/>
              <w:jc w:val="center"/>
              <w:rPr>
                <w:szCs w:val="21"/>
              </w:rPr>
            </w:pPr>
          </w:p>
        </w:tc>
        <w:tc>
          <w:tcPr>
            <w:tcW w:w="3498" w:type="dxa"/>
            <w:noWrap w:val="0"/>
            <w:vAlign w:val="center"/>
          </w:tcPr>
          <w:p w14:paraId="332850C7">
            <w:pPr>
              <w:widowControl/>
              <w:snapToGrid w:val="0"/>
              <w:jc w:val="center"/>
              <w:rPr>
                <w:szCs w:val="21"/>
              </w:rPr>
            </w:pPr>
            <w:r>
              <w:rPr>
                <w:szCs w:val="21"/>
              </w:rPr>
              <w:t>材质</w:t>
            </w:r>
          </w:p>
        </w:tc>
        <w:tc>
          <w:tcPr>
            <w:tcW w:w="1907" w:type="dxa"/>
            <w:noWrap w:val="0"/>
            <w:vAlign w:val="center"/>
          </w:tcPr>
          <w:p w14:paraId="2C3E46E0">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p w14:paraId="6C7D0E73">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c>
          <w:tcPr>
            <w:tcW w:w="1850" w:type="dxa"/>
            <w:noWrap w:val="0"/>
            <w:vAlign w:val="center"/>
          </w:tcPr>
          <w:p w14:paraId="6D2D7CC8">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p w14:paraId="3B19617C">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p>
        </w:tc>
      </w:tr>
      <w:tr w14:paraId="01F2E1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vMerge w:val="continue"/>
            <w:noWrap w:val="0"/>
            <w:vAlign w:val="center"/>
          </w:tcPr>
          <w:p w14:paraId="24F85435">
            <w:pPr>
              <w:snapToGrid w:val="0"/>
              <w:jc w:val="center"/>
              <w:rPr>
                <w:szCs w:val="21"/>
              </w:rPr>
            </w:pPr>
          </w:p>
        </w:tc>
        <w:tc>
          <w:tcPr>
            <w:tcW w:w="1106" w:type="dxa"/>
            <w:vMerge w:val="continue"/>
            <w:noWrap w:val="0"/>
            <w:vAlign w:val="center"/>
          </w:tcPr>
          <w:p w14:paraId="6E8E675C">
            <w:pPr>
              <w:widowControl/>
              <w:snapToGrid w:val="0"/>
              <w:jc w:val="center"/>
              <w:rPr>
                <w:szCs w:val="21"/>
              </w:rPr>
            </w:pPr>
          </w:p>
        </w:tc>
        <w:tc>
          <w:tcPr>
            <w:tcW w:w="3498" w:type="dxa"/>
            <w:noWrap w:val="0"/>
            <w:vAlign w:val="center"/>
          </w:tcPr>
          <w:p w14:paraId="60393CB2">
            <w:pPr>
              <w:widowControl/>
              <w:snapToGrid w:val="0"/>
              <w:jc w:val="center"/>
              <w:rPr>
                <w:szCs w:val="21"/>
              </w:rPr>
            </w:pPr>
            <w:r>
              <w:rPr>
                <w:szCs w:val="21"/>
              </w:rPr>
              <w:t>执行标准</w:t>
            </w:r>
          </w:p>
        </w:tc>
        <w:tc>
          <w:tcPr>
            <w:tcW w:w="1907" w:type="dxa"/>
            <w:noWrap w:val="0"/>
            <w:vAlign w:val="center"/>
          </w:tcPr>
          <w:p w14:paraId="1A104A17">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tc>
        <w:tc>
          <w:tcPr>
            <w:tcW w:w="1850" w:type="dxa"/>
            <w:noWrap w:val="0"/>
            <w:vAlign w:val="center"/>
          </w:tcPr>
          <w:p w14:paraId="10FC3C19">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tc>
      </w:tr>
      <w:tr w14:paraId="4C8FA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00" w:type="dxa"/>
            <w:vMerge w:val="continue"/>
            <w:noWrap w:val="0"/>
            <w:vAlign w:val="center"/>
          </w:tcPr>
          <w:p w14:paraId="1E3D47C6">
            <w:pPr>
              <w:snapToGrid w:val="0"/>
              <w:jc w:val="center"/>
              <w:rPr>
                <w:szCs w:val="21"/>
              </w:rPr>
            </w:pPr>
          </w:p>
        </w:tc>
        <w:tc>
          <w:tcPr>
            <w:tcW w:w="1106" w:type="dxa"/>
            <w:vMerge w:val="continue"/>
            <w:noWrap w:val="0"/>
            <w:vAlign w:val="center"/>
          </w:tcPr>
          <w:p w14:paraId="2AF094F4">
            <w:pPr>
              <w:widowControl/>
              <w:snapToGrid w:val="0"/>
              <w:jc w:val="center"/>
              <w:rPr>
                <w:szCs w:val="21"/>
              </w:rPr>
            </w:pPr>
          </w:p>
        </w:tc>
        <w:tc>
          <w:tcPr>
            <w:tcW w:w="3498" w:type="dxa"/>
            <w:noWrap w:val="0"/>
            <w:vAlign w:val="center"/>
          </w:tcPr>
          <w:p w14:paraId="209CEEC4">
            <w:pPr>
              <w:widowControl/>
              <w:snapToGrid w:val="0"/>
              <w:jc w:val="center"/>
              <w:rPr>
                <w:szCs w:val="21"/>
              </w:rPr>
            </w:pPr>
            <w:r>
              <w:rPr>
                <w:szCs w:val="21"/>
              </w:rPr>
              <w:t>生产者和（或）经销者的名称、地址和联系方式</w:t>
            </w:r>
          </w:p>
        </w:tc>
        <w:tc>
          <w:tcPr>
            <w:tcW w:w="1907" w:type="dxa"/>
            <w:noWrap w:val="0"/>
            <w:vAlign w:val="center"/>
          </w:tcPr>
          <w:p w14:paraId="2F967BAF">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tc>
        <w:tc>
          <w:tcPr>
            <w:tcW w:w="1850" w:type="dxa"/>
            <w:noWrap w:val="0"/>
            <w:vAlign w:val="center"/>
          </w:tcPr>
          <w:p w14:paraId="38073D3B">
            <w:pPr>
              <w:adjustRightInd w:val="0"/>
              <w:snapToGrid w:val="0"/>
              <w:jc w:val="center"/>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4806.1—2016</w:t>
            </w:r>
          </w:p>
        </w:tc>
      </w:tr>
    </w:tbl>
    <w:p w14:paraId="05C92EF2">
      <w:pPr>
        <w:keepNext w:val="0"/>
        <w:keepLines w:val="0"/>
        <w:pageBreakBefore w:val="0"/>
        <w:widowControl w:val="0"/>
        <w:kinsoku/>
        <w:wordWrap/>
        <w:overflowPunct/>
        <w:topLinePunct w:val="0"/>
        <w:autoSpaceDE/>
        <w:autoSpaceDN/>
        <w:bidi w:val="0"/>
        <w:adjustRightInd/>
        <w:snapToGrid/>
        <w:spacing w:line="240" w:lineRule="auto"/>
        <w:ind w:firstLine="440" w:firstLineChars="200"/>
        <w:textAlignment w:val="auto"/>
        <w:rPr>
          <w:rFonts w:hint="eastAsia" w:ascii="Times New Roman" w:hAnsi="Times New Roman" w:eastAsia="宋体" w:cs="宋体"/>
          <w:sz w:val="22"/>
          <w:szCs w:val="28"/>
        </w:rPr>
      </w:pPr>
    </w:p>
    <w:p w14:paraId="079ADC8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执行企业标准、团体标准、地方标准的产品，检验项目参照上述内容执行。</w:t>
      </w:r>
    </w:p>
    <w:p w14:paraId="1F1CD16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凡是注日期的文件，其随后所有的修改单（不包括勘误的内容）或修订版不适用于本细则。凡是不注日期的文件，其最新版本适用于本细则。</w:t>
      </w:r>
    </w:p>
    <w:p w14:paraId="61F35A1E">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Times New Roman" w:hAnsi="Times New Roman" w:eastAsia="黑体" w:cs="黑体"/>
          <w:sz w:val="22"/>
          <w:szCs w:val="28"/>
          <w:lang w:val="en-US" w:eastAsia="zh-CN"/>
        </w:rPr>
      </w:pPr>
    </w:p>
    <w:p w14:paraId="1CC12896">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rPr>
      </w:pPr>
      <w:r>
        <w:rPr>
          <w:rFonts w:hint="eastAsia" w:ascii="Times New Roman" w:hAnsi="Times New Roman" w:eastAsia="黑体" w:cs="黑体"/>
          <w:sz w:val="22"/>
          <w:szCs w:val="28"/>
          <w:lang w:val="en-US" w:eastAsia="zh-CN"/>
        </w:rPr>
        <w:t>3 判定规则</w:t>
      </w:r>
    </w:p>
    <w:p w14:paraId="4508790C">
      <w:pPr>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Times New Roman" w:hAnsi="Times New Roman" w:eastAsia="宋体" w:cs="宋体"/>
          <w:sz w:val="22"/>
          <w:szCs w:val="28"/>
          <w:lang w:val="en-US" w:eastAsia="zh-CN"/>
        </w:rPr>
      </w:pPr>
      <w:r>
        <w:rPr>
          <w:rFonts w:hint="eastAsia" w:ascii="Times New Roman" w:hAnsi="Times New Roman" w:eastAsia="宋体" w:cs="宋体"/>
          <w:sz w:val="22"/>
          <w:szCs w:val="28"/>
          <w:lang w:val="en-US" w:eastAsia="zh-CN"/>
        </w:rPr>
        <w:t>3.1 依据标准</w:t>
      </w:r>
    </w:p>
    <w:p w14:paraId="1476E0DB">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kern w:val="0"/>
          <w:highlight w:val="none"/>
          <w14:textFill>
            <w14:solidFill>
              <w14:schemeClr w14:val="tx1"/>
            </w14:solidFill>
          </w14:textFill>
        </w:rPr>
      </w:pPr>
      <w:r>
        <w:rPr>
          <w:rFonts w:hint="default" w:ascii="Times New Roman" w:hAnsi="Times New Roman" w:cs="Times New Roman"/>
          <w:color w:val="000000" w:themeColor="text1"/>
          <w:kern w:val="0"/>
          <w:highlight w:val="none"/>
          <w14:textFill>
            <w14:solidFill>
              <w14:schemeClr w14:val="tx1"/>
            </w14:solidFill>
          </w14:textFill>
        </w:rPr>
        <w:t>GB 4706.1—2005 家用和类似用途电器的安全</w:t>
      </w:r>
      <w:r>
        <w:rPr>
          <w:rFonts w:hint="default" w:ascii="Times New Roman" w:hAnsi="Times New Roman" w:cs="Times New Roman"/>
          <w:color w:val="000000" w:themeColor="text1"/>
          <w:kern w:val="0"/>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kern w:val="0"/>
          <w:highlight w:val="none"/>
          <w14:textFill>
            <w14:solidFill>
              <w14:schemeClr w14:val="tx1"/>
            </w14:solidFill>
          </w14:textFill>
        </w:rPr>
        <w:t>第1部分：通用要求</w:t>
      </w:r>
    </w:p>
    <w:p w14:paraId="59E8FBFF">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 xml:space="preserve">GB/T 4706.1—2024 家用和类似用途电器的安全 </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第1部分：通用要求</w:t>
      </w:r>
    </w:p>
    <w:p w14:paraId="0C59FCB7">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4706.38—2008 家用和类似用途电器的安全</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商用电动饮食加工机械的特殊要求</w:t>
      </w:r>
    </w:p>
    <w:p w14:paraId="70A48ED2">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GB/T</w:t>
      </w:r>
      <w:r>
        <w:rPr>
          <w:rFonts w:hint="default"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 xml:space="preserve">4706.38—2024 家用和类似用途电器的安全 </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第38部分：商用电动饮食加工机械的特殊</w:t>
      </w:r>
      <w:r>
        <w:rPr>
          <w:rFonts w:hint="default" w:ascii="Times New Roman" w:hAnsi="Times New Roman" w:cs="Times New Roman"/>
          <w:color w:val="000000" w:themeColor="text1"/>
          <w:highlight w:val="none"/>
          <w:lang w:val="en-US" w:eastAsia="zh-CN"/>
          <w14:textFill>
            <w14:solidFill>
              <w14:schemeClr w14:val="tx1"/>
            </w14:solidFill>
          </w14:textFill>
        </w:rPr>
        <w:t>要求</w:t>
      </w:r>
    </w:p>
    <w:p w14:paraId="2B2715EA">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rPr>
      </w:pPr>
      <w:r>
        <w:rPr>
          <w:rFonts w:hint="default" w:ascii="Times New Roman" w:hAnsi="Times New Roman" w:cs="Times New Roman"/>
        </w:rPr>
        <w:t>GB 4806.1—2016 食品安全国家标准</w:t>
      </w:r>
      <w:r>
        <w:rPr>
          <w:rFonts w:hint="eastAsia" w:ascii="Times New Roman" w:hAnsi="Times New Roman" w:cs="Times New Roman"/>
          <w:lang w:val="en-US" w:eastAsia="zh-CN"/>
        </w:rPr>
        <w:t xml:space="preserve">  </w:t>
      </w:r>
      <w:r>
        <w:rPr>
          <w:rFonts w:hint="default" w:ascii="Times New Roman" w:hAnsi="Times New Roman" w:cs="Times New Roman"/>
        </w:rPr>
        <w:t>食品接触材料及制品通用安全要求</w:t>
      </w:r>
    </w:p>
    <w:p w14:paraId="68EBCE4B">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4806.7—2023</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食品接触用塑料材料及制品</w:t>
      </w:r>
    </w:p>
    <w:p w14:paraId="3534D2D2">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4806.9—2023</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食品接触用金属材料及制品</w:t>
      </w:r>
    </w:p>
    <w:p w14:paraId="73371EB0">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4806.11—2016</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食品接触用橡胶材料及制品</w:t>
      </w:r>
    </w:p>
    <w:p w14:paraId="600F10C7">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4806.11—2023</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食品接触用橡胶材料及制品</w:t>
      </w:r>
    </w:p>
    <w:p w14:paraId="2A3DC5B8">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4806.16—2025</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食品接触用硅橡胶材料及制品</w:t>
      </w:r>
    </w:p>
    <w:p w14:paraId="7BDE35D3">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9685—2016</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食品安全国家标准</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食品接触材料及制品用添加剂使用标准</w:t>
      </w:r>
    </w:p>
    <w:p w14:paraId="249992A5">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16798—2023</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食品机械安全要求</w:t>
      </w:r>
    </w:p>
    <w:p w14:paraId="5713B820">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20" w:firstLineChars="200"/>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GB 44246—2024</w:t>
      </w:r>
      <w:r>
        <w:rPr>
          <w:rFonts w:hint="eastAsia" w:ascii="Times New Roman" w:hAnsi="Times New Roman" w:cs="Times New Roman"/>
          <w:color w:val="000000" w:themeColor="text1"/>
          <w:highlight w:val="none"/>
          <w:lang w:val="en-US" w:eastAsia="zh-CN"/>
          <w14:textFill>
            <w14:solidFill>
              <w14:schemeClr w14:val="tx1"/>
            </w14:solidFill>
          </w14:textFill>
        </w:rPr>
        <w:t xml:space="preserve"> </w:t>
      </w:r>
      <w:r>
        <w:rPr>
          <w:rFonts w:hint="default" w:ascii="Times New Roman" w:hAnsi="Times New Roman" w:cs="Times New Roman"/>
          <w:color w:val="000000" w:themeColor="text1"/>
          <w:highlight w:val="none"/>
          <w14:textFill>
            <w14:solidFill>
              <w14:schemeClr w14:val="tx1"/>
            </w14:solidFill>
          </w14:textFill>
        </w:rPr>
        <w:t>家用和类似用途电器、体育用品的电气部分及电玩具 安全技术规范</w:t>
      </w:r>
    </w:p>
    <w:p w14:paraId="7B0D6395">
      <w:pPr>
        <w:keepNext w:val="0"/>
        <w:keepLines w:val="0"/>
        <w:pageBreakBefore w:val="0"/>
        <w:widowControl w:val="0"/>
        <w:shd w:val="clear" w:color="auto" w:fill="FFFFFF"/>
        <w:kinsoku/>
        <w:wordWrap/>
        <w:overflowPunct/>
        <w:topLinePunct w:val="0"/>
        <w:autoSpaceDE/>
        <w:autoSpaceDN/>
        <w:bidi w:val="0"/>
        <w:adjustRightInd/>
        <w:snapToGrid w:val="0"/>
        <w:spacing w:line="44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现行有效的企业标准、团体标准、地方标准及产品明示质量要求</w:t>
      </w:r>
    </w:p>
    <w:p w14:paraId="5FC76CBA">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lang w:val="en-US" w:eastAsia="zh-CN"/>
        </w:rPr>
        <w:t>3.2 判定原则</w:t>
      </w:r>
    </w:p>
    <w:p w14:paraId="5F7A16E5">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经检验，检验项目全部合格，判定为被抽查产品所检项目未发现不合格；检验项目中任一项或一项以上不合格，判定为被抽查产品不合格。</w:t>
      </w:r>
    </w:p>
    <w:p w14:paraId="37D2BE67">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若被检产品明示的质量要求高于本细则中检验项目依据的标准要求时，应按被检产品明示的质量要求判定。</w:t>
      </w:r>
    </w:p>
    <w:p w14:paraId="706F4FD1">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若被检产品明示的质量要求低于本细则中检验项目依据的强制性标准要求时，应按照强制性标准要求判定。</w:t>
      </w:r>
    </w:p>
    <w:p w14:paraId="44837DEA">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若被检产品明示的质量要求低于或包含本细则中检验项目依据的推荐性标准要求时，应以被检产品明示的质量要求判定。</w:t>
      </w:r>
    </w:p>
    <w:p w14:paraId="3A8EB75D">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若被检产品明示的质量要求缺少本细则中检验项目依据的强制性标准要求时，应按照强制性标准要求判定。</w:t>
      </w:r>
    </w:p>
    <w:p w14:paraId="07CF1076">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r>
        <w:rPr>
          <w:rFonts w:hint="eastAsia" w:ascii="Times New Roman" w:hAnsi="Times New Roman" w:eastAsia="宋体" w:cs="宋体"/>
          <w:sz w:val="22"/>
          <w:szCs w:val="28"/>
        </w:rPr>
        <w:t>若被检产品明示的质量要求缺少本细则中检验项目依据的推荐性标准要求时，该项目不参与判定。</w:t>
      </w:r>
    </w:p>
    <w:p w14:paraId="76A5A8B8">
      <w:pPr>
        <w:keepNext w:val="0"/>
        <w:keepLines w:val="0"/>
        <w:pageBreakBefore w:val="0"/>
        <w:widowControl w:val="0"/>
        <w:kinsoku/>
        <w:wordWrap/>
        <w:overflowPunct/>
        <w:topLinePunct w:val="0"/>
        <w:autoSpaceDE/>
        <w:autoSpaceDN/>
        <w:bidi w:val="0"/>
        <w:adjustRightInd/>
        <w:snapToGrid/>
        <w:spacing w:line="520" w:lineRule="exact"/>
        <w:ind w:firstLine="440" w:firstLineChars="200"/>
        <w:textAlignment w:val="auto"/>
        <w:rPr>
          <w:rFonts w:hint="eastAsia" w:ascii="Times New Roman" w:hAnsi="Times New Roman" w:eastAsia="宋体" w:cs="宋体"/>
          <w:sz w:val="22"/>
          <w:szCs w:val="28"/>
        </w:rPr>
      </w:pPr>
    </w:p>
    <w:p w14:paraId="71AB0DA2">
      <w:pPr>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Times New Roman" w:hAnsi="Times New Roman" w:eastAsia="宋体" w:cs="宋体"/>
          <w:sz w:val="22"/>
          <w:szCs w:val="28"/>
        </w:rPr>
      </w:pPr>
    </w:p>
    <w:sectPr>
      <w:footerReference r:id="rId3" w:type="default"/>
      <w:pgSz w:w="11906" w:h="16838"/>
      <w:pgMar w:top="2098" w:right="1474" w:bottom="1984" w:left="1587"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小标宋简体">
    <w:panose1 w:val="02000000000000000000"/>
    <w:charset w:val="86"/>
    <w:family w:val="auto"/>
    <w:pitch w:val="default"/>
    <w:sig w:usb0="00000001" w:usb1="080E0000" w:usb2="00000000" w:usb3="00000000" w:csb0="00040000" w:csb1="00000000"/>
  </w:font>
  <w:font w:name="方正仿宋简体">
    <w:altName w:val="微软雅黑"/>
    <w:panose1 w:val="02010601030101010101"/>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D81B41">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04B0DA0">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04B0DA0">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CFD616"/>
    <w:multiLevelType w:val="singleLevel"/>
    <w:tmpl w:val="ACCFD616"/>
    <w:lvl w:ilvl="0" w:tentative="0">
      <w:start w:val="1"/>
      <w:numFmt w:val="decimal"/>
      <w:lvlText w:val="%1"/>
      <w:lvlJc w:val="left"/>
      <w:pPr>
        <w:tabs>
          <w:tab w:val="left" w:pos="420"/>
        </w:tabs>
        <w:ind w:left="425" w:hanging="425"/>
      </w:pPr>
      <w:rPr>
        <w:rFonts w:hint="default"/>
      </w:rPr>
    </w:lvl>
  </w:abstractNum>
  <w:abstractNum w:abstractNumId="1">
    <w:nsid w:val="0EF87E23"/>
    <w:multiLevelType w:val="singleLevel"/>
    <w:tmpl w:val="0EF87E23"/>
    <w:lvl w:ilvl="0" w:tentative="0">
      <w:start w:val="1"/>
      <w:numFmt w:val="decimal"/>
      <w:lvlText w:val="%1"/>
      <w:lvlJc w:val="left"/>
      <w:pPr>
        <w:tabs>
          <w:tab w:val="left" w:pos="420"/>
        </w:tabs>
        <w:ind w:left="425" w:leftChars="0" w:hanging="425" w:firstLineChars="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9326DE"/>
    <w:rsid w:val="01DE07DC"/>
    <w:rsid w:val="02551A35"/>
    <w:rsid w:val="036455F8"/>
    <w:rsid w:val="067C415F"/>
    <w:rsid w:val="06E03F13"/>
    <w:rsid w:val="070E6657"/>
    <w:rsid w:val="0CD143AE"/>
    <w:rsid w:val="0D343503"/>
    <w:rsid w:val="10B13B7E"/>
    <w:rsid w:val="13144FF5"/>
    <w:rsid w:val="149E7B87"/>
    <w:rsid w:val="156C55BC"/>
    <w:rsid w:val="1CD1652E"/>
    <w:rsid w:val="1D954F44"/>
    <w:rsid w:val="1E7B23CC"/>
    <w:rsid w:val="222A1341"/>
    <w:rsid w:val="234E78B1"/>
    <w:rsid w:val="28135C91"/>
    <w:rsid w:val="295D53A7"/>
    <w:rsid w:val="29B570DA"/>
    <w:rsid w:val="2B4863B8"/>
    <w:rsid w:val="2B830B12"/>
    <w:rsid w:val="2E5977D4"/>
    <w:rsid w:val="2E8C4181"/>
    <w:rsid w:val="2ED81174"/>
    <w:rsid w:val="311E490C"/>
    <w:rsid w:val="38A81BB8"/>
    <w:rsid w:val="408E5B37"/>
    <w:rsid w:val="42C54070"/>
    <w:rsid w:val="43081BD1"/>
    <w:rsid w:val="439E0D9F"/>
    <w:rsid w:val="46050649"/>
    <w:rsid w:val="46F26E20"/>
    <w:rsid w:val="470C0994"/>
    <w:rsid w:val="47E66258"/>
    <w:rsid w:val="48797678"/>
    <w:rsid w:val="4B9F509C"/>
    <w:rsid w:val="4C516D59"/>
    <w:rsid w:val="4C6D02BD"/>
    <w:rsid w:val="4E227B86"/>
    <w:rsid w:val="4E3A2F69"/>
    <w:rsid w:val="4EC77E56"/>
    <w:rsid w:val="5054330D"/>
    <w:rsid w:val="523C53F3"/>
    <w:rsid w:val="534D3EB1"/>
    <w:rsid w:val="58705DF6"/>
    <w:rsid w:val="592E4311"/>
    <w:rsid w:val="5C20021B"/>
    <w:rsid w:val="5C4D5356"/>
    <w:rsid w:val="649B4036"/>
    <w:rsid w:val="67FF22F0"/>
    <w:rsid w:val="68932257"/>
    <w:rsid w:val="69977566"/>
    <w:rsid w:val="6AE3640F"/>
    <w:rsid w:val="6E79418D"/>
    <w:rsid w:val="6FD607DD"/>
    <w:rsid w:val="6FF46EB5"/>
    <w:rsid w:val="71BA4C42"/>
    <w:rsid w:val="737C0D9D"/>
    <w:rsid w:val="73C038EC"/>
    <w:rsid w:val="74422159"/>
    <w:rsid w:val="77062301"/>
    <w:rsid w:val="77650ECC"/>
    <w:rsid w:val="7947444E"/>
    <w:rsid w:val="799A287B"/>
    <w:rsid w:val="7C093CE8"/>
    <w:rsid w:val="7F88730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
    <w:name w:val="_Style 67"/>
    <w:basedOn w:val="1"/>
    <w:next w:val="1"/>
    <w:qFormat/>
    <w:uiPriority w:val="34"/>
    <w:pPr>
      <w:widowControl/>
      <w:spacing w:line="360" w:lineRule="auto"/>
      <w:ind w:firstLine="420" w:firstLineChars="200"/>
      <w:jc w:val="left"/>
    </w:pPr>
    <w:rPr>
      <w:rFonts w:ascii="Calibri" w:hAnsi="Calibri" w:eastAsia="微软雅黑"/>
      <w:sz w:val="24"/>
      <w:szCs w:val="22"/>
    </w:rPr>
  </w:style>
  <w:style w:type="table" w:customStyle="1" w:styleId="8">
    <w:name w:val="网格型1"/>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1213</Words>
  <Characters>2433</Characters>
  <Lines>0</Lines>
  <Paragraphs>0</Paragraphs>
  <TotalTime>9</TotalTime>
  <ScaleCrop>false</ScaleCrop>
  <LinksUpToDate>false</LinksUpToDate>
  <CharactersWithSpaces>2559</CharactersWithSpaces>
  <Application>WPS Office_12.1.0.23122_F1E327BC-269C-435d-A152-05C5408002CA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2025-10-22T02:01:00Z</dcterms:created>
  <dc:creator>JinweiJia</dc:creator>
  <cp:lastModifiedBy>zw</cp:lastModifiedBy>
  <dcterms:modified xsi:type="dcterms:W3CDTF">2026-06-09T03:46:37Z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2052-12.1.0.23122</vt:lpwstr>
  </property>
  <property fmtid="{D5CDD505-2E9C-101B-9397-08002B2CF9AE}" pid="3" name="ICV">
    <vt:lpwstr>8EB906BCA4B64A1189F69D9EFF4022BB_13</vt:lpwstr>
  </property>
  <property fmtid="{D5CDD505-2E9C-101B-9397-08002B2CF9AE}" pid="4" name="KSOTemplateDocerSaveRecord">
    <vt:lpwstr>eyJoZGlkIjoiYjU4YTEyOWI0YTA1NzExMDUyM2E4NzRjZjM1MmQ2OWEiLCJ1c2VySWQiOiIxMTI2NTcyODI0In0=</vt:lpwstr>
  </property>
</Properties>
</file>